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40" w:rsidRPr="007C5D75" w:rsidRDefault="00A32340" w:rsidP="009C313D">
      <w:pPr>
        <w:pBdr>
          <w:bottom w:val="single" w:sz="4" w:space="1" w:color="auto"/>
        </w:pBdr>
        <w:rPr>
          <w:sz w:val="18"/>
        </w:rPr>
      </w:pPr>
    </w:p>
    <w:p w:rsidR="00F0032A" w:rsidRDefault="00F0032A" w:rsidP="00885C56"/>
    <w:p w:rsidR="00F0032A" w:rsidRDefault="00F0032A" w:rsidP="00885C56"/>
    <w:p w:rsidR="00F0032A" w:rsidRDefault="00F0032A" w:rsidP="00885C56"/>
    <w:p w:rsidR="00535BF5" w:rsidRDefault="00645FA1" w:rsidP="00673B8C">
      <w:pPr>
        <w:rPr>
          <w:rFonts w:ascii="Times New Roman" w:hAnsi="Times New Roman"/>
          <w:sz w:val="24"/>
        </w:rPr>
      </w:pPr>
      <w:r w:rsidRPr="00645FA1">
        <w:rPr>
          <w:rFonts w:ascii="Times New Roman" w:hAnsi="Times New Roman"/>
          <w:sz w:val="24"/>
        </w:rPr>
        <w:t>June 29</w:t>
      </w:r>
      <w:r w:rsidR="00535BF5">
        <w:rPr>
          <w:rFonts w:ascii="Times New Roman" w:hAnsi="Times New Roman"/>
          <w:sz w:val="24"/>
        </w:rPr>
        <w:t>, 2012</w:t>
      </w:r>
    </w:p>
    <w:p w:rsidR="00535BF5" w:rsidRDefault="00535BF5" w:rsidP="00673B8C">
      <w:pPr>
        <w:rPr>
          <w:rFonts w:ascii="Times New Roman" w:hAnsi="Times New Roman"/>
          <w:sz w:val="24"/>
        </w:rPr>
      </w:pPr>
    </w:p>
    <w:p w:rsidR="0077774E" w:rsidRDefault="0077774E" w:rsidP="00673B8C">
      <w:pPr>
        <w:rPr>
          <w:rFonts w:ascii="Times New Roman" w:hAnsi="Times New Roman"/>
          <w:sz w:val="24"/>
        </w:rPr>
      </w:pPr>
      <w:r>
        <w:rPr>
          <w:rFonts w:ascii="Times New Roman" w:hAnsi="Times New Roman"/>
          <w:sz w:val="24"/>
        </w:rPr>
        <w:t>Marilyn Tavenner</w:t>
      </w:r>
    </w:p>
    <w:p w:rsidR="0077774E" w:rsidRDefault="0077774E" w:rsidP="00673B8C">
      <w:pPr>
        <w:rPr>
          <w:rFonts w:ascii="Times New Roman" w:hAnsi="Times New Roman"/>
          <w:sz w:val="24"/>
        </w:rPr>
      </w:pPr>
      <w:r>
        <w:rPr>
          <w:rFonts w:ascii="Times New Roman" w:hAnsi="Times New Roman"/>
          <w:sz w:val="24"/>
        </w:rPr>
        <w:t>Acting Administrator</w:t>
      </w:r>
    </w:p>
    <w:p w:rsidR="00535BF5" w:rsidRDefault="00535BF5" w:rsidP="00673B8C">
      <w:pPr>
        <w:rPr>
          <w:rFonts w:ascii="Times New Roman" w:hAnsi="Times New Roman"/>
          <w:sz w:val="24"/>
        </w:rPr>
      </w:pPr>
      <w:r>
        <w:rPr>
          <w:rFonts w:ascii="Times New Roman" w:hAnsi="Times New Roman"/>
          <w:sz w:val="24"/>
        </w:rPr>
        <w:t>Centers for Medicare &amp; Medicaid Services</w:t>
      </w:r>
    </w:p>
    <w:p w:rsidR="00535BF5" w:rsidRDefault="00535BF5" w:rsidP="00673B8C">
      <w:pPr>
        <w:rPr>
          <w:rFonts w:ascii="Times New Roman" w:hAnsi="Times New Roman"/>
          <w:sz w:val="24"/>
        </w:rPr>
      </w:pPr>
      <w:r>
        <w:rPr>
          <w:rFonts w:ascii="Times New Roman" w:hAnsi="Times New Roman"/>
          <w:sz w:val="24"/>
        </w:rPr>
        <w:t>Department of Health and Human Services</w:t>
      </w:r>
    </w:p>
    <w:p w:rsidR="00535BF5" w:rsidRDefault="00535BF5" w:rsidP="00673B8C">
      <w:pPr>
        <w:rPr>
          <w:rFonts w:ascii="Times New Roman" w:hAnsi="Times New Roman"/>
          <w:sz w:val="24"/>
        </w:rPr>
      </w:pPr>
      <w:r>
        <w:rPr>
          <w:rFonts w:ascii="Times New Roman" w:hAnsi="Times New Roman"/>
          <w:sz w:val="24"/>
        </w:rPr>
        <w:t>Attention: CMS-2249-P2</w:t>
      </w:r>
    </w:p>
    <w:p w:rsidR="00535BF5" w:rsidRDefault="00535BF5" w:rsidP="00673B8C">
      <w:pPr>
        <w:rPr>
          <w:rFonts w:ascii="Times New Roman" w:hAnsi="Times New Roman"/>
          <w:sz w:val="24"/>
        </w:rPr>
      </w:pPr>
      <w:r>
        <w:rPr>
          <w:rFonts w:ascii="Times New Roman" w:hAnsi="Times New Roman"/>
          <w:sz w:val="24"/>
        </w:rPr>
        <w:t>7500 Security Boulevard</w:t>
      </w:r>
    </w:p>
    <w:p w:rsidR="00535BF5" w:rsidRDefault="00535BF5" w:rsidP="00673B8C">
      <w:pPr>
        <w:rPr>
          <w:rFonts w:ascii="Times New Roman" w:hAnsi="Times New Roman"/>
          <w:sz w:val="24"/>
        </w:rPr>
      </w:pPr>
      <w:r>
        <w:rPr>
          <w:rFonts w:ascii="Times New Roman" w:hAnsi="Times New Roman"/>
          <w:sz w:val="24"/>
        </w:rPr>
        <w:t>Baltimore, MD 21244-1850</w:t>
      </w:r>
    </w:p>
    <w:p w:rsidR="00535BF5" w:rsidRDefault="00535BF5" w:rsidP="00673B8C">
      <w:pPr>
        <w:rPr>
          <w:rFonts w:ascii="Times New Roman" w:hAnsi="Times New Roman"/>
          <w:sz w:val="24"/>
        </w:rPr>
      </w:pPr>
    </w:p>
    <w:p w:rsidR="00535BF5" w:rsidRDefault="00535BF5" w:rsidP="00673B8C">
      <w:pPr>
        <w:rPr>
          <w:rFonts w:ascii="Times New Roman" w:hAnsi="Times New Roman"/>
          <w:sz w:val="24"/>
        </w:rPr>
      </w:pPr>
      <w:r>
        <w:rPr>
          <w:rFonts w:ascii="Times New Roman" w:hAnsi="Times New Roman"/>
          <w:sz w:val="24"/>
        </w:rPr>
        <w:t>Re: Medicaid Program; State Plan Home and Community-Based Services, 5-Year Period for Waivers, Provider Payment Reassignment, and Setting Requirements for Community First Choice</w:t>
      </w:r>
      <w:r w:rsidR="009C31E0">
        <w:rPr>
          <w:rFonts w:ascii="Times New Roman" w:hAnsi="Times New Roman"/>
          <w:sz w:val="24"/>
        </w:rPr>
        <w:t xml:space="preserve"> (2249-P2)</w:t>
      </w:r>
    </w:p>
    <w:p w:rsidR="00535BF5" w:rsidRDefault="00535BF5" w:rsidP="00673B8C">
      <w:pPr>
        <w:rPr>
          <w:rFonts w:ascii="Times New Roman" w:hAnsi="Times New Roman"/>
          <w:sz w:val="24"/>
        </w:rPr>
      </w:pPr>
    </w:p>
    <w:p w:rsidR="00535BF5" w:rsidRDefault="00535BF5" w:rsidP="00673B8C">
      <w:pPr>
        <w:rPr>
          <w:rFonts w:ascii="Times New Roman" w:hAnsi="Times New Roman"/>
          <w:sz w:val="24"/>
        </w:rPr>
      </w:pPr>
      <w:r>
        <w:rPr>
          <w:rFonts w:ascii="Times New Roman" w:hAnsi="Times New Roman"/>
          <w:sz w:val="24"/>
        </w:rPr>
        <w:t xml:space="preserve">Dear </w:t>
      </w:r>
      <w:r w:rsidR="0077774E">
        <w:rPr>
          <w:rFonts w:ascii="Times New Roman" w:hAnsi="Times New Roman"/>
          <w:sz w:val="24"/>
        </w:rPr>
        <w:t>Administrator Tavenner</w:t>
      </w:r>
      <w:r>
        <w:rPr>
          <w:rFonts w:ascii="Times New Roman" w:hAnsi="Times New Roman"/>
          <w:sz w:val="24"/>
        </w:rPr>
        <w:t>:</w:t>
      </w:r>
    </w:p>
    <w:p w:rsidR="00535BF5" w:rsidRDefault="00535BF5" w:rsidP="00673B8C">
      <w:pPr>
        <w:rPr>
          <w:rFonts w:ascii="Times New Roman" w:hAnsi="Times New Roman"/>
          <w:sz w:val="24"/>
        </w:rPr>
      </w:pPr>
    </w:p>
    <w:p w:rsidR="00535BF5" w:rsidRPr="005843C9" w:rsidRDefault="00902680" w:rsidP="00673B8C">
      <w:pPr>
        <w:rPr>
          <w:rFonts w:ascii="Times New Roman" w:hAnsi="Times New Roman"/>
          <w:sz w:val="24"/>
        </w:rPr>
      </w:pPr>
      <w:r w:rsidRPr="005843C9">
        <w:rPr>
          <w:rFonts w:ascii="Times New Roman" w:hAnsi="Times New Roman"/>
          <w:sz w:val="24"/>
        </w:rPr>
        <w:t>The Arc is the nation’s oldest and largest nonprofit organization for people with intellectual and developmental disabilities (I/DD), promoting and protecting their human rights and actively supporting their full inclusion in the community throughout their lifetimes.  The Arc’s 705 state and local chapters, in 49 states and the District of Columbia, serve more than 1.5 million people with I/DD and immediate family members with a diverse range of services in the area of education, health care, employment, housing and community living, financial planning and more</w:t>
      </w:r>
      <w:r w:rsidR="00673B8C" w:rsidRPr="005843C9">
        <w:rPr>
          <w:rFonts w:ascii="Times New Roman" w:hAnsi="Times New Roman"/>
          <w:sz w:val="24"/>
        </w:rPr>
        <w:t xml:space="preserve">. </w:t>
      </w:r>
    </w:p>
    <w:p w:rsidR="00535BF5" w:rsidRDefault="00535BF5" w:rsidP="00673B8C">
      <w:pPr>
        <w:rPr>
          <w:rFonts w:ascii="Times New Roman" w:hAnsi="Times New Roman"/>
          <w:sz w:val="24"/>
        </w:rPr>
      </w:pPr>
    </w:p>
    <w:p w:rsidR="00BC61D7" w:rsidRDefault="00BC61D7" w:rsidP="00673B8C">
      <w:pPr>
        <w:rPr>
          <w:rFonts w:ascii="Times New Roman" w:hAnsi="Times New Roman"/>
          <w:b/>
          <w:sz w:val="24"/>
        </w:rPr>
      </w:pPr>
      <w:r w:rsidRPr="00020B31">
        <w:rPr>
          <w:rFonts w:ascii="Times New Roman" w:hAnsi="Times New Roman"/>
          <w:b/>
          <w:sz w:val="24"/>
        </w:rPr>
        <w:t xml:space="preserve">Section 441.530 Home and Community-Based Setting </w:t>
      </w:r>
    </w:p>
    <w:p w:rsidR="00BC61D7" w:rsidRDefault="00BC61D7" w:rsidP="00673B8C">
      <w:pPr>
        <w:rPr>
          <w:rFonts w:ascii="Times New Roman" w:hAnsi="Times New Roman"/>
          <w:sz w:val="24"/>
        </w:rPr>
      </w:pPr>
      <w:r w:rsidRPr="00020B31">
        <w:rPr>
          <w:rFonts w:ascii="Times New Roman" w:hAnsi="Times New Roman"/>
          <w:b/>
          <w:sz w:val="24"/>
        </w:rPr>
        <w:t>Section 441.656 State plan home and community-based services</w:t>
      </w:r>
      <w:r>
        <w:rPr>
          <w:rFonts w:ascii="Times New Roman" w:hAnsi="Times New Roman"/>
          <w:sz w:val="24"/>
        </w:rPr>
        <w:t xml:space="preserve"> </w:t>
      </w:r>
    </w:p>
    <w:p w:rsidR="00156AE6" w:rsidRDefault="00156AE6" w:rsidP="00673B8C">
      <w:pPr>
        <w:rPr>
          <w:rFonts w:ascii="Times New Roman" w:hAnsi="Times New Roman"/>
          <w:sz w:val="24"/>
        </w:rPr>
      </w:pPr>
    </w:p>
    <w:p w:rsidR="00156AE6" w:rsidRPr="00156AE6" w:rsidRDefault="00156AE6" w:rsidP="00156AE6">
      <w:pPr>
        <w:pStyle w:val="ListParagraph"/>
        <w:numPr>
          <w:ilvl w:val="0"/>
          <w:numId w:val="13"/>
        </w:numPr>
      </w:pPr>
      <w:r>
        <w:t>Qualities of home and community-based settings (Sections 441.530(a)(1) and 441.656(a)(1))</w:t>
      </w:r>
    </w:p>
    <w:p w:rsidR="00BC61D7" w:rsidRDefault="00BC61D7" w:rsidP="00673B8C">
      <w:pPr>
        <w:rPr>
          <w:rFonts w:ascii="Times New Roman" w:hAnsi="Times New Roman"/>
          <w:sz w:val="24"/>
        </w:rPr>
      </w:pPr>
    </w:p>
    <w:p w:rsidR="0061558C" w:rsidRDefault="00535BF5" w:rsidP="00673B8C">
      <w:pPr>
        <w:rPr>
          <w:rFonts w:ascii="Times New Roman" w:hAnsi="Times New Roman"/>
          <w:sz w:val="24"/>
        </w:rPr>
      </w:pPr>
      <w:r>
        <w:rPr>
          <w:rFonts w:ascii="Times New Roman" w:hAnsi="Times New Roman"/>
          <w:sz w:val="24"/>
        </w:rPr>
        <w:t xml:space="preserve">The Arc supports the proposed list of qualities </w:t>
      </w:r>
      <w:r w:rsidR="003E0EC7">
        <w:rPr>
          <w:rFonts w:ascii="Times New Roman" w:hAnsi="Times New Roman"/>
          <w:sz w:val="24"/>
        </w:rPr>
        <w:t>that define</w:t>
      </w:r>
      <w:r>
        <w:rPr>
          <w:rFonts w:ascii="Times New Roman" w:hAnsi="Times New Roman"/>
          <w:sz w:val="24"/>
        </w:rPr>
        <w:t xml:space="preserve"> home and community-based settings</w:t>
      </w:r>
      <w:r w:rsidR="00673B8C" w:rsidRPr="006262D3">
        <w:rPr>
          <w:rFonts w:ascii="Times New Roman" w:hAnsi="Times New Roman"/>
          <w:sz w:val="24"/>
        </w:rPr>
        <w:t xml:space="preserve"> </w:t>
      </w:r>
      <w:r>
        <w:rPr>
          <w:rFonts w:ascii="Times New Roman" w:hAnsi="Times New Roman"/>
          <w:sz w:val="24"/>
        </w:rPr>
        <w:t xml:space="preserve">in </w:t>
      </w:r>
      <w:r w:rsidRPr="00020B31">
        <w:rPr>
          <w:rFonts w:ascii="Times New Roman" w:hAnsi="Times New Roman"/>
          <w:b/>
          <w:sz w:val="24"/>
        </w:rPr>
        <w:t>Section 441.530(a</w:t>
      </w:r>
      <w:proofErr w:type="gramStart"/>
      <w:r w:rsidRPr="00020B31">
        <w:rPr>
          <w:rFonts w:ascii="Times New Roman" w:hAnsi="Times New Roman"/>
          <w:b/>
          <w:sz w:val="24"/>
        </w:rPr>
        <w:t>)(</w:t>
      </w:r>
      <w:proofErr w:type="gramEnd"/>
      <w:r w:rsidRPr="00020B31">
        <w:rPr>
          <w:rFonts w:ascii="Times New Roman" w:hAnsi="Times New Roman"/>
          <w:b/>
          <w:sz w:val="24"/>
        </w:rPr>
        <w:t>1) and Section 441.656(a)(1)</w:t>
      </w:r>
      <w:r>
        <w:rPr>
          <w:rFonts w:ascii="Times New Roman" w:hAnsi="Times New Roman"/>
          <w:sz w:val="24"/>
        </w:rPr>
        <w:t xml:space="preserve">.  </w:t>
      </w:r>
      <w:r w:rsidR="0061558C">
        <w:rPr>
          <w:rFonts w:ascii="Times New Roman" w:hAnsi="Times New Roman"/>
          <w:sz w:val="24"/>
        </w:rPr>
        <w:t xml:space="preserve">The </w:t>
      </w:r>
      <w:r w:rsidR="003E0EC7">
        <w:rPr>
          <w:rFonts w:ascii="Times New Roman" w:hAnsi="Times New Roman"/>
          <w:sz w:val="24"/>
        </w:rPr>
        <w:t xml:space="preserve">listed </w:t>
      </w:r>
      <w:r w:rsidR="0061558C">
        <w:rPr>
          <w:rFonts w:ascii="Times New Roman" w:hAnsi="Times New Roman"/>
          <w:sz w:val="24"/>
        </w:rPr>
        <w:t>qualities</w:t>
      </w:r>
      <w:r w:rsidR="003E0EC7">
        <w:rPr>
          <w:rFonts w:ascii="Times New Roman" w:hAnsi="Times New Roman"/>
          <w:sz w:val="24"/>
        </w:rPr>
        <w:t xml:space="preserve"> </w:t>
      </w:r>
      <w:r w:rsidR="0061558C">
        <w:rPr>
          <w:rFonts w:ascii="Times New Roman" w:hAnsi="Times New Roman"/>
          <w:sz w:val="24"/>
        </w:rPr>
        <w:t>promote integration of people with disabilities into typical neighborhoods and communities</w:t>
      </w:r>
      <w:r w:rsidR="00A06456">
        <w:rPr>
          <w:rFonts w:ascii="Times New Roman" w:hAnsi="Times New Roman"/>
          <w:sz w:val="24"/>
        </w:rPr>
        <w:t xml:space="preserve"> “like individuals without disabilities</w:t>
      </w:r>
      <w:r w:rsidR="0061558C">
        <w:rPr>
          <w:rFonts w:ascii="Times New Roman" w:hAnsi="Times New Roman"/>
          <w:sz w:val="24"/>
        </w:rPr>
        <w:t>.</w:t>
      </w:r>
      <w:r w:rsidR="00A06456">
        <w:rPr>
          <w:rFonts w:ascii="Times New Roman" w:hAnsi="Times New Roman"/>
          <w:sz w:val="24"/>
        </w:rPr>
        <w:t>”</w:t>
      </w:r>
    </w:p>
    <w:p w:rsidR="0061558C" w:rsidRDefault="0061558C" w:rsidP="00673B8C">
      <w:pPr>
        <w:rPr>
          <w:rFonts w:ascii="Times New Roman" w:hAnsi="Times New Roman"/>
          <w:sz w:val="24"/>
        </w:rPr>
      </w:pPr>
    </w:p>
    <w:p w:rsidR="00673B8C" w:rsidRDefault="00535BF5" w:rsidP="00673B8C">
      <w:pPr>
        <w:rPr>
          <w:rFonts w:ascii="Times New Roman" w:hAnsi="Times New Roman"/>
          <w:sz w:val="24"/>
        </w:rPr>
      </w:pPr>
      <w:r>
        <w:rPr>
          <w:rFonts w:ascii="Times New Roman" w:hAnsi="Times New Roman"/>
          <w:sz w:val="24"/>
        </w:rPr>
        <w:t>We</w:t>
      </w:r>
      <w:r w:rsidR="0061558C">
        <w:rPr>
          <w:rFonts w:ascii="Times New Roman" w:hAnsi="Times New Roman"/>
          <w:sz w:val="24"/>
        </w:rPr>
        <w:t xml:space="preserve"> </w:t>
      </w:r>
      <w:r>
        <w:rPr>
          <w:rFonts w:ascii="Times New Roman" w:hAnsi="Times New Roman"/>
          <w:sz w:val="24"/>
        </w:rPr>
        <w:t>suggest</w:t>
      </w:r>
      <w:r w:rsidR="0061558C">
        <w:rPr>
          <w:rFonts w:ascii="Times New Roman" w:hAnsi="Times New Roman"/>
          <w:sz w:val="24"/>
        </w:rPr>
        <w:t xml:space="preserve"> </w:t>
      </w:r>
      <w:r w:rsidR="00BC61D7">
        <w:rPr>
          <w:rFonts w:ascii="Times New Roman" w:hAnsi="Times New Roman"/>
          <w:sz w:val="24"/>
        </w:rPr>
        <w:t xml:space="preserve">that </w:t>
      </w:r>
      <w:r w:rsidR="00FA321E">
        <w:rPr>
          <w:rFonts w:ascii="Times New Roman" w:hAnsi="Times New Roman"/>
          <w:sz w:val="24"/>
        </w:rPr>
        <w:t xml:space="preserve">additional language be added to </w:t>
      </w:r>
      <w:r w:rsidR="00FA321E" w:rsidRPr="00020B31">
        <w:rPr>
          <w:rFonts w:ascii="Times New Roman" w:hAnsi="Times New Roman"/>
          <w:b/>
          <w:sz w:val="24"/>
        </w:rPr>
        <w:t>Section 441.530(a</w:t>
      </w:r>
      <w:proofErr w:type="gramStart"/>
      <w:r w:rsidR="00FA321E" w:rsidRPr="00020B31">
        <w:rPr>
          <w:rFonts w:ascii="Times New Roman" w:hAnsi="Times New Roman"/>
          <w:b/>
          <w:sz w:val="24"/>
        </w:rPr>
        <w:t>)(</w:t>
      </w:r>
      <w:proofErr w:type="gramEnd"/>
      <w:r w:rsidR="00FA321E" w:rsidRPr="00020B31">
        <w:rPr>
          <w:rFonts w:ascii="Times New Roman" w:hAnsi="Times New Roman"/>
          <w:b/>
          <w:sz w:val="24"/>
        </w:rPr>
        <w:t>1)(ii) and Section 441.656(a)(1)(ii)</w:t>
      </w:r>
      <w:r w:rsidR="00FA321E">
        <w:rPr>
          <w:rFonts w:ascii="Times New Roman" w:hAnsi="Times New Roman"/>
          <w:sz w:val="24"/>
        </w:rPr>
        <w:t xml:space="preserve"> </w:t>
      </w:r>
      <w:r w:rsidR="0061558C">
        <w:rPr>
          <w:rFonts w:ascii="Times New Roman" w:hAnsi="Times New Roman"/>
          <w:sz w:val="24"/>
        </w:rPr>
        <w:t>t</w:t>
      </w:r>
      <w:r w:rsidR="00FA321E">
        <w:rPr>
          <w:rFonts w:ascii="Times New Roman" w:hAnsi="Times New Roman"/>
          <w:sz w:val="24"/>
        </w:rPr>
        <w:t>hat we believe would strengthen th</w:t>
      </w:r>
      <w:r w:rsidR="0061558C">
        <w:rPr>
          <w:rFonts w:ascii="Times New Roman" w:hAnsi="Times New Roman"/>
          <w:sz w:val="24"/>
        </w:rPr>
        <w:t>e proposed rule.  T</w:t>
      </w:r>
      <w:r>
        <w:rPr>
          <w:rFonts w:ascii="Times New Roman" w:hAnsi="Times New Roman"/>
          <w:sz w:val="24"/>
        </w:rPr>
        <w:t xml:space="preserve">he proposed </w:t>
      </w:r>
      <w:r w:rsidR="00FA321E">
        <w:rPr>
          <w:rFonts w:ascii="Times New Roman" w:hAnsi="Times New Roman"/>
          <w:sz w:val="24"/>
        </w:rPr>
        <w:t>rule</w:t>
      </w:r>
      <w:r>
        <w:rPr>
          <w:rFonts w:ascii="Times New Roman" w:hAnsi="Times New Roman"/>
          <w:sz w:val="24"/>
        </w:rPr>
        <w:t xml:space="preserve"> </w:t>
      </w:r>
      <w:r w:rsidR="0061558C">
        <w:rPr>
          <w:rFonts w:ascii="Times New Roman" w:hAnsi="Times New Roman"/>
          <w:sz w:val="24"/>
        </w:rPr>
        <w:t>should</w:t>
      </w:r>
      <w:r>
        <w:rPr>
          <w:rFonts w:ascii="Times New Roman" w:hAnsi="Times New Roman"/>
          <w:sz w:val="24"/>
        </w:rPr>
        <w:t xml:space="preserve"> include</w:t>
      </w:r>
      <w:r w:rsidR="000A5505">
        <w:rPr>
          <w:rFonts w:ascii="Times New Roman" w:hAnsi="Times New Roman"/>
          <w:sz w:val="24"/>
        </w:rPr>
        <w:t xml:space="preserve"> language that reflects the </w:t>
      </w:r>
      <w:r w:rsidR="007D223D">
        <w:rPr>
          <w:rFonts w:ascii="Times New Roman" w:hAnsi="Times New Roman"/>
          <w:sz w:val="24"/>
        </w:rPr>
        <w:t>tenets</w:t>
      </w:r>
      <w:r w:rsidR="000A5505">
        <w:rPr>
          <w:rFonts w:ascii="Times New Roman" w:hAnsi="Times New Roman"/>
          <w:sz w:val="24"/>
        </w:rPr>
        <w:t xml:space="preserve"> of the ADA and the Olmstead decision</w:t>
      </w:r>
      <w:r w:rsidR="003E0EC7">
        <w:rPr>
          <w:rFonts w:ascii="Times New Roman" w:hAnsi="Times New Roman"/>
          <w:sz w:val="24"/>
        </w:rPr>
        <w:t>,</w:t>
      </w:r>
      <w:r w:rsidR="000A5505">
        <w:rPr>
          <w:rFonts w:ascii="Times New Roman" w:hAnsi="Times New Roman"/>
          <w:sz w:val="24"/>
        </w:rPr>
        <w:t xml:space="preserve"> </w:t>
      </w:r>
      <w:r w:rsidR="0061558C">
        <w:rPr>
          <w:rFonts w:ascii="Times New Roman" w:hAnsi="Times New Roman"/>
          <w:sz w:val="24"/>
        </w:rPr>
        <w:t xml:space="preserve">and include </w:t>
      </w:r>
      <w:r w:rsidR="0061558C">
        <w:rPr>
          <w:rFonts w:ascii="Times New Roman" w:hAnsi="Times New Roman"/>
          <w:sz w:val="24"/>
        </w:rPr>
        <w:lastRenderedPageBreak/>
        <w:t>language that reflects that the individual’s choice of setting must be an informed choice.  We suggest that Section 441.530(a</w:t>
      </w:r>
      <w:proofErr w:type="gramStart"/>
      <w:r w:rsidR="0061558C">
        <w:rPr>
          <w:rFonts w:ascii="Times New Roman" w:hAnsi="Times New Roman"/>
          <w:sz w:val="24"/>
        </w:rPr>
        <w:t>)(</w:t>
      </w:r>
      <w:proofErr w:type="gramEnd"/>
      <w:r w:rsidR="0061558C">
        <w:rPr>
          <w:rFonts w:ascii="Times New Roman" w:hAnsi="Times New Roman"/>
          <w:sz w:val="24"/>
        </w:rPr>
        <w:t>1)(ii) and Section 441.656(a)(1)(ii) be modified as follows:</w:t>
      </w:r>
    </w:p>
    <w:p w:rsidR="0061558C" w:rsidRDefault="0061558C" w:rsidP="00673B8C">
      <w:pPr>
        <w:rPr>
          <w:rFonts w:ascii="Times New Roman" w:hAnsi="Times New Roman"/>
          <w:sz w:val="24"/>
        </w:rPr>
      </w:pPr>
    </w:p>
    <w:p w:rsidR="000A5505" w:rsidRPr="00A87C4F" w:rsidRDefault="0061558C" w:rsidP="00673B8C">
      <w:pPr>
        <w:rPr>
          <w:rFonts w:ascii="Times New Roman" w:hAnsi="Times New Roman"/>
          <w:i/>
          <w:sz w:val="24"/>
        </w:rPr>
      </w:pPr>
      <w:r w:rsidRPr="00A87C4F">
        <w:rPr>
          <w:rFonts w:ascii="Times New Roman" w:hAnsi="Times New Roman"/>
          <w:i/>
          <w:sz w:val="24"/>
        </w:rPr>
        <w:t>The setting is selected by the individual following a meaningful opportunity to choose from</w:t>
      </w:r>
      <w:r w:rsidR="005E6D55">
        <w:rPr>
          <w:rFonts w:ascii="Times New Roman" w:hAnsi="Times New Roman"/>
          <w:i/>
          <w:sz w:val="24"/>
        </w:rPr>
        <w:t xml:space="preserve"> all available</w:t>
      </w:r>
      <w:r w:rsidRPr="00A87C4F">
        <w:rPr>
          <w:rFonts w:ascii="Times New Roman" w:hAnsi="Times New Roman"/>
          <w:i/>
          <w:sz w:val="24"/>
        </w:rPr>
        <w:t xml:space="preserve"> alternatives</w:t>
      </w:r>
      <w:r w:rsidR="000A5505" w:rsidRPr="00A87C4F">
        <w:rPr>
          <w:rFonts w:ascii="Times New Roman" w:hAnsi="Times New Roman"/>
          <w:i/>
          <w:sz w:val="24"/>
        </w:rPr>
        <w:t>,</w:t>
      </w:r>
      <w:r w:rsidRPr="00A87C4F">
        <w:rPr>
          <w:rFonts w:ascii="Times New Roman" w:hAnsi="Times New Roman"/>
          <w:i/>
          <w:sz w:val="24"/>
        </w:rPr>
        <w:t xml:space="preserve"> including the setting that is the most integrated setting appropriate for the individual.</w:t>
      </w:r>
      <w:r w:rsidR="000A5505" w:rsidRPr="00A87C4F">
        <w:rPr>
          <w:rFonts w:ascii="Times New Roman" w:hAnsi="Times New Roman"/>
          <w:i/>
          <w:sz w:val="24"/>
        </w:rPr>
        <w:t xml:space="preserve">  </w:t>
      </w:r>
    </w:p>
    <w:p w:rsidR="000A5505" w:rsidRDefault="000A5505" w:rsidP="00673B8C">
      <w:pPr>
        <w:rPr>
          <w:rFonts w:ascii="Times New Roman" w:hAnsi="Times New Roman"/>
          <w:sz w:val="24"/>
        </w:rPr>
      </w:pPr>
    </w:p>
    <w:p w:rsidR="0061558C" w:rsidRDefault="00A87C4F" w:rsidP="00673B8C">
      <w:pPr>
        <w:rPr>
          <w:rFonts w:ascii="Times New Roman" w:hAnsi="Times New Roman"/>
          <w:sz w:val="24"/>
        </w:rPr>
      </w:pPr>
      <w:r>
        <w:rPr>
          <w:rFonts w:ascii="Times New Roman" w:hAnsi="Times New Roman"/>
          <w:sz w:val="24"/>
        </w:rPr>
        <w:t>I</w:t>
      </w:r>
      <w:r w:rsidR="000A5505">
        <w:rPr>
          <w:rFonts w:ascii="Times New Roman" w:hAnsi="Times New Roman"/>
          <w:sz w:val="24"/>
        </w:rPr>
        <w:t>ndividuals with intellectual and developmental disabilities (I/DD) may need more than verbal descriptions or pictures of alternatives</w:t>
      </w:r>
      <w:r>
        <w:rPr>
          <w:rFonts w:ascii="Times New Roman" w:hAnsi="Times New Roman"/>
          <w:sz w:val="24"/>
        </w:rPr>
        <w:t xml:space="preserve"> in order to make meaningful choices</w:t>
      </w:r>
      <w:r w:rsidR="000A5505">
        <w:rPr>
          <w:rFonts w:ascii="Times New Roman" w:hAnsi="Times New Roman"/>
          <w:sz w:val="24"/>
        </w:rPr>
        <w:t xml:space="preserve">.  They may need to visit alternative settings, perhaps more than one time, in order to make an informed choice.  The setting that is the most integrated setting appropriate for the individual is more specific than the proposed “all available alternatives” and conveys clearly that </w:t>
      </w:r>
      <w:r>
        <w:rPr>
          <w:rFonts w:ascii="Times New Roman" w:hAnsi="Times New Roman"/>
          <w:sz w:val="24"/>
        </w:rPr>
        <w:t xml:space="preserve">states must ensure compliance with the ADA.  </w:t>
      </w:r>
      <w:r w:rsidR="000A5505">
        <w:rPr>
          <w:rFonts w:ascii="Times New Roman" w:hAnsi="Times New Roman"/>
          <w:sz w:val="24"/>
        </w:rPr>
        <w:t xml:space="preserve"> </w:t>
      </w:r>
    </w:p>
    <w:p w:rsidR="0061558C" w:rsidRDefault="0061558C" w:rsidP="00673B8C">
      <w:pPr>
        <w:rPr>
          <w:rFonts w:ascii="Times New Roman" w:hAnsi="Times New Roman"/>
          <w:sz w:val="24"/>
        </w:rPr>
      </w:pPr>
    </w:p>
    <w:p w:rsidR="00FA321E" w:rsidRDefault="00FA321E" w:rsidP="00673B8C">
      <w:pPr>
        <w:rPr>
          <w:rFonts w:ascii="Times New Roman" w:hAnsi="Times New Roman"/>
          <w:sz w:val="24"/>
        </w:rPr>
      </w:pPr>
      <w:r>
        <w:rPr>
          <w:rFonts w:ascii="Times New Roman" w:hAnsi="Times New Roman"/>
          <w:sz w:val="24"/>
        </w:rPr>
        <w:t xml:space="preserve">The Arc suggests that </w:t>
      </w:r>
      <w:r w:rsidRPr="00020B31">
        <w:rPr>
          <w:rFonts w:ascii="Times New Roman" w:hAnsi="Times New Roman"/>
          <w:b/>
          <w:sz w:val="24"/>
        </w:rPr>
        <w:t>Section 441.530(a</w:t>
      </w:r>
      <w:proofErr w:type="gramStart"/>
      <w:r w:rsidRPr="00020B31">
        <w:rPr>
          <w:rFonts w:ascii="Times New Roman" w:hAnsi="Times New Roman"/>
          <w:b/>
          <w:sz w:val="24"/>
        </w:rPr>
        <w:t>)(</w:t>
      </w:r>
      <w:proofErr w:type="gramEnd"/>
      <w:r w:rsidRPr="00020B31">
        <w:rPr>
          <w:rFonts w:ascii="Times New Roman" w:hAnsi="Times New Roman"/>
          <w:b/>
          <w:sz w:val="24"/>
        </w:rPr>
        <w:t>1)(iii) and Section 441.656(a)(1)(iii)</w:t>
      </w:r>
      <w:r>
        <w:rPr>
          <w:rFonts w:ascii="Times New Roman" w:hAnsi="Times New Roman"/>
          <w:sz w:val="24"/>
        </w:rPr>
        <w:t xml:space="preserve"> state clearly that individuals’ human rights (privacy, dignity and respect, and freedom from coercion and restraint) must be protected.  We suggest that “essential personal” be omitted to avoid confusion.</w:t>
      </w:r>
    </w:p>
    <w:p w:rsidR="00FA321E" w:rsidRDefault="00FA321E" w:rsidP="00673B8C">
      <w:pPr>
        <w:rPr>
          <w:rFonts w:ascii="Times New Roman" w:hAnsi="Times New Roman"/>
          <w:sz w:val="24"/>
        </w:rPr>
      </w:pPr>
    </w:p>
    <w:p w:rsidR="00FA321E" w:rsidRDefault="00FA321E" w:rsidP="00673B8C">
      <w:pPr>
        <w:rPr>
          <w:rFonts w:ascii="Times New Roman" w:hAnsi="Times New Roman"/>
          <w:sz w:val="24"/>
        </w:rPr>
      </w:pPr>
      <w:r>
        <w:rPr>
          <w:rFonts w:ascii="Times New Roman" w:hAnsi="Times New Roman"/>
          <w:sz w:val="24"/>
        </w:rPr>
        <w:t xml:space="preserve">In </w:t>
      </w:r>
      <w:r w:rsidRPr="00020B31">
        <w:rPr>
          <w:rFonts w:ascii="Times New Roman" w:hAnsi="Times New Roman"/>
          <w:b/>
          <w:sz w:val="24"/>
        </w:rPr>
        <w:t>Section 441.530(a</w:t>
      </w:r>
      <w:proofErr w:type="gramStart"/>
      <w:r w:rsidRPr="00020B31">
        <w:rPr>
          <w:rFonts w:ascii="Times New Roman" w:hAnsi="Times New Roman"/>
          <w:b/>
          <w:sz w:val="24"/>
        </w:rPr>
        <w:t>)(</w:t>
      </w:r>
      <w:proofErr w:type="gramEnd"/>
      <w:r w:rsidRPr="00020B31">
        <w:rPr>
          <w:rFonts w:ascii="Times New Roman" w:hAnsi="Times New Roman"/>
          <w:b/>
          <w:sz w:val="24"/>
        </w:rPr>
        <w:t>1)(v) and Section 441.656(a)(1)(v),</w:t>
      </w:r>
      <w:r>
        <w:rPr>
          <w:rFonts w:ascii="Times New Roman" w:hAnsi="Times New Roman"/>
          <w:sz w:val="24"/>
        </w:rPr>
        <w:t xml:space="preserve"> The Arc suggests that the word “facilitated” be omitted and that “ensured” be substituted.  Individual choice of services and supports and who provides them is one of the key elements of home and community-based s</w:t>
      </w:r>
      <w:r w:rsidR="00A94B28">
        <w:rPr>
          <w:rFonts w:ascii="Times New Roman" w:hAnsi="Times New Roman"/>
          <w:sz w:val="24"/>
        </w:rPr>
        <w:t>ervices and must be ensured.</w:t>
      </w:r>
    </w:p>
    <w:p w:rsidR="00FA321E" w:rsidRDefault="00FA321E" w:rsidP="00673B8C">
      <w:pPr>
        <w:rPr>
          <w:rFonts w:ascii="Times New Roman" w:hAnsi="Times New Roman"/>
          <w:sz w:val="24"/>
        </w:rPr>
      </w:pPr>
    </w:p>
    <w:p w:rsidR="00156AE6" w:rsidRDefault="00156AE6" w:rsidP="00156AE6">
      <w:pPr>
        <w:pStyle w:val="ListParagraph"/>
        <w:numPr>
          <w:ilvl w:val="0"/>
          <w:numId w:val="13"/>
        </w:numPr>
      </w:pPr>
      <w:r>
        <w:t>Qualities of provider-owned or controlled home and community-based settings (Sections 441.530(a)(1)(vi) and 441.656(a)(1)(vi)</w:t>
      </w:r>
      <w:r w:rsidR="008C1914">
        <w:t>)</w:t>
      </w:r>
    </w:p>
    <w:p w:rsidR="00156AE6" w:rsidRDefault="00156AE6" w:rsidP="00156AE6">
      <w:pPr>
        <w:ind w:left="360"/>
      </w:pPr>
    </w:p>
    <w:p w:rsidR="00EC53A3" w:rsidRPr="00156AE6" w:rsidRDefault="0061558C" w:rsidP="00156AE6">
      <w:pPr>
        <w:rPr>
          <w:rFonts w:ascii="Times New Roman" w:hAnsi="Times New Roman"/>
          <w:sz w:val="24"/>
        </w:rPr>
      </w:pPr>
      <w:r w:rsidRPr="00156AE6">
        <w:rPr>
          <w:rFonts w:ascii="Times New Roman" w:hAnsi="Times New Roman"/>
          <w:sz w:val="24"/>
        </w:rPr>
        <w:t xml:space="preserve">The Arc </w:t>
      </w:r>
      <w:r w:rsidR="00A87C4F" w:rsidRPr="00156AE6">
        <w:rPr>
          <w:rFonts w:ascii="Times New Roman" w:hAnsi="Times New Roman"/>
          <w:sz w:val="24"/>
        </w:rPr>
        <w:t xml:space="preserve">believes that </w:t>
      </w:r>
      <w:r w:rsidR="003E0EC7" w:rsidRPr="00156AE6">
        <w:rPr>
          <w:rFonts w:ascii="Times New Roman" w:hAnsi="Times New Roman"/>
          <w:sz w:val="24"/>
        </w:rPr>
        <w:t xml:space="preserve">in provider-owned or controlled residential settings </w:t>
      </w:r>
      <w:r w:rsidR="00A87C4F" w:rsidRPr="00156AE6">
        <w:rPr>
          <w:rFonts w:ascii="Times New Roman" w:hAnsi="Times New Roman"/>
          <w:sz w:val="24"/>
        </w:rPr>
        <w:t>modifications of the conditions (qualities)</w:t>
      </w:r>
      <w:r w:rsidR="003E0EC7" w:rsidRPr="00156AE6">
        <w:rPr>
          <w:rFonts w:ascii="Times New Roman" w:hAnsi="Times New Roman"/>
          <w:sz w:val="24"/>
        </w:rPr>
        <w:t xml:space="preserve"> in </w:t>
      </w:r>
      <w:r w:rsidR="003E0EC7" w:rsidRPr="00156AE6">
        <w:rPr>
          <w:rFonts w:ascii="Times New Roman" w:hAnsi="Times New Roman"/>
          <w:b/>
          <w:sz w:val="24"/>
        </w:rPr>
        <w:t>Section 441.530(a</w:t>
      </w:r>
      <w:proofErr w:type="gramStart"/>
      <w:r w:rsidR="003E0EC7" w:rsidRPr="00156AE6">
        <w:rPr>
          <w:rFonts w:ascii="Times New Roman" w:hAnsi="Times New Roman"/>
          <w:b/>
          <w:sz w:val="24"/>
        </w:rPr>
        <w:t>)(</w:t>
      </w:r>
      <w:proofErr w:type="gramEnd"/>
      <w:r w:rsidR="003E0EC7" w:rsidRPr="00156AE6">
        <w:rPr>
          <w:rFonts w:ascii="Times New Roman" w:hAnsi="Times New Roman"/>
          <w:b/>
          <w:sz w:val="24"/>
        </w:rPr>
        <w:t>1)(vi)(A)-(E) and Section 441.65</w:t>
      </w:r>
      <w:r w:rsidR="00BC61D7" w:rsidRPr="00156AE6">
        <w:rPr>
          <w:rFonts w:ascii="Times New Roman" w:hAnsi="Times New Roman"/>
          <w:b/>
          <w:sz w:val="24"/>
        </w:rPr>
        <w:t>6</w:t>
      </w:r>
      <w:r w:rsidR="003E0EC7" w:rsidRPr="00156AE6">
        <w:rPr>
          <w:rFonts w:ascii="Times New Roman" w:hAnsi="Times New Roman"/>
          <w:b/>
          <w:sz w:val="24"/>
        </w:rPr>
        <w:t>(a)(1)(vi)(A)-(E)</w:t>
      </w:r>
      <w:r w:rsidR="00A87C4F" w:rsidRPr="00156AE6">
        <w:rPr>
          <w:rFonts w:ascii="Times New Roman" w:hAnsi="Times New Roman"/>
          <w:sz w:val="24"/>
        </w:rPr>
        <w:t xml:space="preserve"> may be necessary in order to safeguard the health and safety of some individuals.  Such modifications should be rare.</w:t>
      </w:r>
      <w:r w:rsidR="007640EA" w:rsidRPr="00156AE6">
        <w:rPr>
          <w:rFonts w:ascii="Times New Roman" w:hAnsi="Times New Roman"/>
          <w:sz w:val="24"/>
        </w:rPr>
        <w:t xml:space="preserve">  </w:t>
      </w:r>
      <w:r w:rsidR="00BC61D7" w:rsidRPr="00156AE6">
        <w:rPr>
          <w:rFonts w:ascii="Times New Roman" w:hAnsi="Times New Roman"/>
          <w:sz w:val="24"/>
        </w:rPr>
        <w:t>Ensuring individual autonomy and independence</w:t>
      </w:r>
      <w:r w:rsidR="007640EA" w:rsidRPr="00156AE6">
        <w:rPr>
          <w:rFonts w:ascii="Times New Roman" w:hAnsi="Times New Roman"/>
          <w:sz w:val="24"/>
        </w:rPr>
        <w:t xml:space="preserve"> should be balanced against perceived safety or health risks.  The standard for instituting conditions should be a high standard.</w:t>
      </w:r>
      <w:r w:rsidR="00A87C4F" w:rsidRPr="00156AE6">
        <w:rPr>
          <w:rFonts w:ascii="Times New Roman" w:hAnsi="Times New Roman"/>
          <w:sz w:val="24"/>
        </w:rPr>
        <w:t xml:space="preserve">  </w:t>
      </w:r>
      <w:r w:rsidR="00BC61D7" w:rsidRPr="00156AE6">
        <w:rPr>
          <w:rFonts w:ascii="Times New Roman" w:hAnsi="Times New Roman"/>
          <w:sz w:val="24"/>
        </w:rPr>
        <w:t>The Arc suggests that a</w:t>
      </w:r>
      <w:r w:rsidR="00EC53A3" w:rsidRPr="00156AE6">
        <w:rPr>
          <w:rFonts w:ascii="Times New Roman" w:hAnsi="Times New Roman"/>
          <w:sz w:val="24"/>
        </w:rPr>
        <w:t>dditional requirements be added to Section 441.530 (a</w:t>
      </w:r>
      <w:proofErr w:type="gramStart"/>
      <w:r w:rsidR="00EC53A3" w:rsidRPr="00156AE6">
        <w:rPr>
          <w:rFonts w:ascii="Times New Roman" w:hAnsi="Times New Roman"/>
          <w:sz w:val="24"/>
        </w:rPr>
        <w:t>)(</w:t>
      </w:r>
      <w:proofErr w:type="gramEnd"/>
      <w:r w:rsidR="00EC53A3" w:rsidRPr="00156AE6">
        <w:rPr>
          <w:rFonts w:ascii="Times New Roman" w:hAnsi="Times New Roman"/>
          <w:sz w:val="24"/>
        </w:rPr>
        <w:t>1)(vi) and Section 441.656(a)(1)(vi):</w:t>
      </w:r>
    </w:p>
    <w:p w:rsidR="00EC53A3" w:rsidRPr="00156AE6" w:rsidRDefault="00EC53A3" w:rsidP="00673B8C">
      <w:pPr>
        <w:rPr>
          <w:rFonts w:ascii="Times New Roman" w:hAnsi="Times New Roman"/>
          <w:sz w:val="24"/>
        </w:rPr>
      </w:pPr>
    </w:p>
    <w:p w:rsidR="0061558C" w:rsidRPr="00020B31" w:rsidRDefault="00CC1C63" w:rsidP="00673B8C">
      <w:pPr>
        <w:rPr>
          <w:rFonts w:ascii="Times New Roman" w:hAnsi="Times New Roman"/>
          <w:i/>
          <w:sz w:val="24"/>
        </w:rPr>
      </w:pPr>
      <w:r w:rsidRPr="00020B31">
        <w:rPr>
          <w:rFonts w:ascii="Times New Roman" w:hAnsi="Times New Roman"/>
          <w:i/>
          <w:sz w:val="24"/>
        </w:rPr>
        <w:t>The person-centered plan must document</w:t>
      </w:r>
      <w:r w:rsidR="00A94B28" w:rsidRPr="00020B31">
        <w:rPr>
          <w:rFonts w:ascii="Times New Roman" w:hAnsi="Times New Roman"/>
          <w:i/>
          <w:sz w:val="24"/>
        </w:rPr>
        <w:t xml:space="preserve"> t</w:t>
      </w:r>
      <w:r w:rsidR="00A87C4F" w:rsidRPr="00020B31">
        <w:rPr>
          <w:rFonts w:ascii="Times New Roman" w:hAnsi="Times New Roman"/>
          <w:i/>
          <w:sz w:val="24"/>
        </w:rPr>
        <w:t xml:space="preserve">he specific </w:t>
      </w:r>
      <w:r w:rsidR="00944C40">
        <w:rPr>
          <w:rFonts w:ascii="Times New Roman" w:hAnsi="Times New Roman"/>
          <w:i/>
          <w:sz w:val="24"/>
        </w:rPr>
        <w:t xml:space="preserve">and individualized </w:t>
      </w:r>
      <w:r w:rsidR="00A87C4F" w:rsidRPr="00020B31">
        <w:rPr>
          <w:rFonts w:ascii="Times New Roman" w:hAnsi="Times New Roman"/>
          <w:i/>
          <w:sz w:val="24"/>
        </w:rPr>
        <w:t>assessed health or safety need</w:t>
      </w:r>
      <w:r w:rsidR="00BC61D7">
        <w:rPr>
          <w:rFonts w:ascii="Times New Roman" w:hAnsi="Times New Roman"/>
          <w:i/>
          <w:sz w:val="24"/>
        </w:rPr>
        <w:t>s</w:t>
      </w:r>
      <w:r w:rsidR="00A87C4F" w:rsidRPr="00020B31">
        <w:rPr>
          <w:rFonts w:ascii="Times New Roman" w:hAnsi="Times New Roman"/>
          <w:i/>
          <w:sz w:val="24"/>
        </w:rPr>
        <w:t xml:space="preserve"> that require </w:t>
      </w:r>
      <w:r w:rsidR="003E0EC7" w:rsidRPr="00020B31">
        <w:rPr>
          <w:rFonts w:ascii="Times New Roman" w:hAnsi="Times New Roman"/>
          <w:i/>
          <w:sz w:val="24"/>
        </w:rPr>
        <w:t xml:space="preserve">a </w:t>
      </w:r>
      <w:r w:rsidR="00F269F7" w:rsidRPr="00020B31">
        <w:rPr>
          <w:rFonts w:ascii="Times New Roman" w:hAnsi="Times New Roman"/>
          <w:i/>
          <w:sz w:val="24"/>
        </w:rPr>
        <w:t>modification, that</w:t>
      </w:r>
      <w:r w:rsidRPr="00020B31">
        <w:rPr>
          <w:rFonts w:ascii="Times New Roman" w:hAnsi="Times New Roman"/>
          <w:i/>
          <w:sz w:val="24"/>
        </w:rPr>
        <w:t xml:space="preserve"> less restrictive a</w:t>
      </w:r>
      <w:r w:rsidR="003E0EC7" w:rsidRPr="00020B31">
        <w:rPr>
          <w:rFonts w:ascii="Times New Roman" w:hAnsi="Times New Roman"/>
          <w:i/>
          <w:sz w:val="24"/>
        </w:rPr>
        <w:t>lternatives  have been tried</w:t>
      </w:r>
      <w:r w:rsidR="00944C40">
        <w:rPr>
          <w:rFonts w:ascii="Times New Roman" w:hAnsi="Times New Roman"/>
          <w:i/>
          <w:sz w:val="24"/>
        </w:rPr>
        <w:t xml:space="preserve"> but were not successful</w:t>
      </w:r>
      <w:r w:rsidRPr="00020B31">
        <w:rPr>
          <w:rFonts w:ascii="Times New Roman" w:hAnsi="Times New Roman"/>
          <w:i/>
          <w:sz w:val="24"/>
        </w:rPr>
        <w:t>,</w:t>
      </w:r>
      <w:r w:rsidR="003E0EC7" w:rsidRPr="00020B31">
        <w:rPr>
          <w:rFonts w:ascii="Times New Roman" w:hAnsi="Times New Roman"/>
          <w:i/>
          <w:sz w:val="24"/>
        </w:rPr>
        <w:t xml:space="preserve"> </w:t>
      </w:r>
      <w:r w:rsidRPr="00020B31">
        <w:rPr>
          <w:rFonts w:ascii="Times New Roman" w:hAnsi="Times New Roman"/>
          <w:i/>
          <w:sz w:val="24"/>
        </w:rPr>
        <w:t xml:space="preserve">and </w:t>
      </w:r>
      <w:r w:rsidR="00A94B28" w:rsidRPr="00020B31">
        <w:rPr>
          <w:rFonts w:ascii="Times New Roman" w:hAnsi="Times New Roman"/>
          <w:i/>
          <w:sz w:val="24"/>
        </w:rPr>
        <w:t xml:space="preserve">attempts to provide services, supports, or training to the individual that </w:t>
      </w:r>
      <w:r w:rsidRPr="00020B31">
        <w:rPr>
          <w:rFonts w:ascii="Times New Roman" w:hAnsi="Times New Roman"/>
          <w:i/>
          <w:sz w:val="24"/>
        </w:rPr>
        <w:t>will</w:t>
      </w:r>
      <w:r w:rsidR="00A94B28" w:rsidRPr="00020B31">
        <w:rPr>
          <w:rFonts w:ascii="Times New Roman" w:hAnsi="Times New Roman"/>
          <w:i/>
          <w:sz w:val="24"/>
        </w:rPr>
        <w:t xml:space="preserve"> lead</w:t>
      </w:r>
      <w:r w:rsidR="00645FA1">
        <w:rPr>
          <w:rFonts w:ascii="Times New Roman" w:hAnsi="Times New Roman"/>
          <w:i/>
          <w:sz w:val="24"/>
        </w:rPr>
        <w:t xml:space="preserve"> </w:t>
      </w:r>
      <w:r w:rsidR="00A94B28" w:rsidRPr="00020B31">
        <w:rPr>
          <w:rFonts w:ascii="Times New Roman" w:hAnsi="Times New Roman"/>
          <w:i/>
          <w:sz w:val="24"/>
        </w:rPr>
        <w:t xml:space="preserve">to </w:t>
      </w:r>
      <w:r w:rsidR="003E0EC7" w:rsidRPr="00020B31">
        <w:rPr>
          <w:rFonts w:ascii="Times New Roman" w:hAnsi="Times New Roman"/>
          <w:i/>
          <w:sz w:val="24"/>
        </w:rPr>
        <w:t>lessen</w:t>
      </w:r>
      <w:r w:rsidR="00A94B28" w:rsidRPr="00020B31">
        <w:rPr>
          <w:rFonts w:ascii="Times New Roman" w:hAnsi="Times New Roman"/>
          <w:i/>
          <w:sz w:val="24"/>
        </w:rPr>
        <w:t>ing or discontinuing</w:t>
      </w:r>
      <w:r w:rsidR="003E0EC7" w:rsidRPr="00020B31">
        <w:rPr>
          <w:rFonts w:ascii="Times New Roman" w:hAnsi="Times New Roman"/>
          <w:i/>
          <w:sz w:val="24"/>
        </w:rPr>
        <w:t xml:space="preserve"> the modification.</w:t>
      </w:r>
      <w:r w:rsidR="00A87C4F" w:rsidRPr="00020B31">
        <w:rPr>
          <w:rFonts w:ascii="Times New Roman" w:hAnsi="Times New Roman"/>
          <w:i/>
          <w:sz w:val="24"/>
        </w:rPr>
        <w:t xml:space="preserve">  </w:t>
      </w:r>
      <w:r w:rsidRPr="00020B31">
        <w:rPr>
          <w:rFonts w:ascii="Times New Roman" w:hAnsi="Times New Roman"/>
          <w:i/>
          <w:sz w:val="24"/>
        </w:rPr>
        <w:t>The person-centered plan must include a</w:t>
      </w:r>
      <w:r w:rsidR="00A87C4F" w:rsidRPr="00020B31">
        <w:rPr>
          <w:rFonts w:ascii="Times New Roman" w:hAnsi="Times New Roman"/>
          <w:i/>
          <w:sz w:val="24"/>
        </w:rPr>
        <w:t xml:space="preserve"> schedule</w:t>
      </w:r>
      <w:r w:rsidRPr="00020B31">
        <w:rPr>
          <w:rFonts w:ascii="Times New Roman" w:hAnsi="Times New Roman"/>
          <w:i/>
          <w:sz w:val="24"/>
        </w:rPr>
        <w:t>, at least every six months</w:t>
      </w:r>
      <w:r w:rsidR="00F269F7" w:rsidRPr="00020B31">
        <w:rPr>
          <w:rFonts w:ascii="Times New Roman" w:hAnsi="Times New Roman"/>
          <w:i/>
          <w:sz w:val="24"/>
        </w:rPr>
        <w:t>, for</w:t>
      </w:r>
      <w:r w:rsidR="00A87C4F" w:rsidRPr="00020B31">
        <w:rPr>
          <w:rFonts w:ascii="Times New Roman" w:hAnsi="Times New Roman"/>
          <w:i/>
          <w:sz w:val="24"/>
        </w:rPr>
        <w:t xml:space="preserve"> reviewing the modifications to determine their effectiveness and continued need.</w:t>
      </w:r>
    </w:p>
    <w:p w:rsidR="003E0EC7" w:rsidRDefault="003E0EC7" w:rsidP="00673B8C">
      <w:pPr>
        <w:rPr>
          <w:rFonts w:ascii="Times New Roman" w:hAnsi="Times New Roman"/>
          <w:i/>
          <w:sz w:val="24"/>
        </w:rPr>
      </w:pPr>
    </w:p>
    <w:p w:rsidR="00EC53A3" w:rsidRDefault="003E0EC7" w:rsidP="00673B8C">
      <w:pPr>
        <w:rPr>
          <w:rFonts w:ascii="Times New Roman" w:hAnsi="Times New Roman"/>
          <w:sz w:val="24"/>
        </w:rPr>
      </w:pPr>
      <w:r w:rsidRPr="00020B31">
        <w:rPr>
          <w:rFonts w:ascii="Times New Roman" w:hAnsi="Times New Roman"/>
          <w:sz w:val="24"/>
        </w:rPr>
        <w:t xml:space="preserve">Consideration </w:t>
      </w:r>
      <w:r w:rsidR="00BC61D7">
        <w:rPr>
          <w:rFonts w:ascii="Times New Roman" w:hAnsi="Times New Roman"/>
          <w:sz w:val="24"/>
        </w:rPr>
        <w:t>sh</w:t>
      </w:r>
      <w:r w:rsidRPr="00020B31">
        <w:rPr>
          <w:rFonts w:ascii="Times New Roman" w:hAnsi="Times New Roman"/>
          <w:sz w:val="24"/>
        </w:rPr>
        <w:t xml:space="preserve">ould </w:t>
      </w:r>
      <w:r w:rsidR="007640EA" w:rsidRPr="00020B31">
        <w:rPr>
          <w:rFonts w:ascii="Times New Roman" w:hAnsi="Times New Roman"/>
          <w:sz w:val="24"/>
        </w:rPr>
        <w:t xml:space="preserve">be given </w:t>
      </w:r>
      <w:r w:rsidR="00CB7A5C" w:rsidRPr="00020B31">
        <w:rPr>
          <w:rFonts w:ascii="Times New Roman" w:hAnsi="Times New Roman"/>
          <w:sz w:val="24"/>
        </w:rPr>
        <w:t>to giving</w:t>
      </w:r>
      <w:r w:rsidR="008D3EBC" w:rsidRPr="00020B31">
        <w:rPr>
          <w:rFonts w:ascii="Times New Roman" w:hAnsi="Times New Roman"/>
          <w:sz w:val="24"/>
        </w:rPr>
        <w:t xml:space="preserve"> </w:t>
      </w:r>
      <w:r w:rsidR="007640EA" w:rsidRPr="00020B31">
        <w:rPr>
          <w:rFonts w:ascii="Times New Roman" w:hAnsi="Times New Roman"/>
          <w:sz w:val="24"/>
        </w:rPr>
        <w:t>human rights review committees</w:t>
      </w:r>
      <w:r w:rsidR="008D3EBC" w:rsidRPr="00020B31">
        <w:rPr>
          <w:rFonts w:ascii="Times New Roman" w:hAnsi="Times New Roman"/>
          <w:sz w:val="24"/>
        </w:rPr>
        <w:t xml:space="preserve"> the additional responsibility of reviewing</w:t>
      </w:r>
      <w:r w:rsidR="007640EA" w:rsidRPr="00020B31">
        <w:rPr>
          <w:rFonts w:ascii="Times New Roman" w:hAnsi="Times New Roman"/>
          <w:sz w:val="24"/>
        </w:rPr>
        <w:t xml:space="preserve"> modifications of the conditions to</w:t>
      </w:r>
      <w:r w:rsidR="008D3EBC" w:rsidRPr="00020B31">
        <w:rPr>
          <w:rFonts w:ascii="Times New Roman" w:hAnsi="Times New Roman"/>
          <w:sz w:val="24"/>
        </w:rPr>
        <w:t xml:space="preserve"> ensure the</w:t>
      </w:r>
      <w:r w:rsidR="007640EA" w:rsidRPr="00020B31">
        <w:rPr>
          <w:rFonts w:ascii="Times New Roman" w:hAnsi="Times New Roman"/>
          <w:sz w:val="24"/>
        </w:rPr>
        <w:t xml:space="preserve"> protect</w:t>
      </w:r>
      <w:r w:rsidR="008D3EBC" w:rsidRPr="00020B31">
        <w:rPr>
          <w:rFonts w:ascii="Times New Roman" w:hAnsi="Times New Roman"/>
          <w:sz w:val="24"/>
        </w:rPr>
        <w:t>ion of</w:t>
      </w:r>
      <w:r w:rsidR="007640EA" w:rsidRPr="00020B31">
        <w:rPr>
          <w:rFonts w:ascii="Times New Roman" w:hAnsi="Times New Roman"/>
          <w:sz w:val="24"/>
        </w:rPr>
        <w:t xml:space="preserve"> individuals </w:t>
      </w:r>
      <w:r w:rsidR="007640EA" w:rsidRPr="00020B31">
        <w:rPr>
          <w:rFonts w:ascii="Times New Roman" w:hAnsi="Times New Roman"/>
          <w:sz w:val="24"/>
        </w:rPr>
        <w:lastRenderedPageBreak/>
        <w:t>whose basic human rights must be restricted.  There should be a clear appeal process available for any individual who does not agree to the conditions.</w:t>
      </w:r>
    </w:p>
    <w:p w:rsidR="00BC61D7" w:rsidRPr="007D150B" w:rsidRDefault="00BC61D7" w:rsidP="00673B8C">
      <w:pPr>
        <w:rPr>
          <w:rFonts w:ascii="Times New Roman" w:hAnsi="Times New Roman"/>
          <w:i/>
          <w:sz w:val="24"/>
        </w:rPr>
      </w:pPr>
    </w:p>
    <w:p w:rsidR="00CB7A5C" w:rsidRDefault="002503A6" w:rsidP="00673B8C">
      <w:pPr>
        <w:rPr>
          <w:rFonts w:ascii="Times New Roman" w:hAnsi="Times New Roman"/>
          <w:sz w:val="24"/>
        </w:rPr>
      </w:pPr>
      <w:r w:rsidRPr="00CB7A5C">
        <w:rPr>
          <w:rFonts w:ascii="Times New Roman" w:hAnsi="Times New Roman"/>
          <w:sz w:val="24"/>
        </w:rPr>
        <w:t xml:space="preserve">The Arc supports giving individuals who receive home and community-based services in provider-owned or operated settings </w:t>
      </w:r>
      <w:r w:rsidRPr="00156AE6">
        <w:rPr>
          <w:rFonts w:ascii="Times New Roman" w:hAnsi="Times New Roman"/>
          <w:b/>
          <w:sz w:val="24"/>
        </w:rPr>
        <w:t>Section 441.530(a</w:t>
      </w:r>
      <w:proofErr w:type="gramStart"/>
      <w:r w:rsidRPr="00156AE6">
        <w:rPr>
          <w:rFonts w:ascii="Times New Roman" w:hAnsi="Times New Roman"/>
          <w:b/>
          <w:sz w:val="24"/>
        </w:rPr>
        <w:t>)(</w:t>
      </w:r>
      <w:proofErr w:type="gramEnd"/>
      <w:r w:rsidRPr="00156AE6">
        <w:rPr>
          <w:rFonts w:ascii="Times New Roman" w:hAnsi="Times New Roman"/>
          <w:b/>
          <w:sz w:val="24"/>
        </w:rPr>
        <w:t>1)(vi)(A) and Section 441.656(a)(1)(vi)(A)</w:t>
      </w:r>
      <w:r w:rsidRPr="00CB7A5C">
        <w:rPr>
          <w:rFonts w:ascii="Times New Roman" w:hAnsi="Times New Roman"/>
          <w:sz w:val="24"/>
        </w:rPr>
        <w:t xml:space="preserve"> protections </w:t>
      </w:r>
      <w:r w:rsidR="004A0476">
        <w:rPr>
          <w:rFonts w:ascii="Times New Roman" w:hAnsi="Times New Roman"/>
          <w:sz w:val="24"/>
        </w:rPr>
        <w:t>regarding transfer and discharge.</w:t>
      </w:r>
      <w:r w:rsidR="00B270D4">
        <w:rPr>
          <w:rFonts w:ascii="Times New Roman" w:hAnsi="Times New Roman"/>
          <w:sz w:val="24"/>
        </w:rPr>
        <w:t xml:space="preserve"> </w:t>
      </w:r>
      <w:r w:rsidR="008C1914">
        <w:rPr>
          <w:rFonts w:ascii="Times New Roman" w:hAnsi="Times New Roman"/>
          <w:sz w:val="24"/>
        </w:rPr>
        <w:t>The Arc suggests the following:</w:t>
      </w:r>
    </w:p>
    <w:p w:rsidR="00156AE6" w:rsidRPr="00CB7A5C" w:rsidRDefault="00156AE6" w:rsidP="00673B8C">
      <w:pPr>
        <w:rPr>
          <w:rFonts w:ascii="Times New Roman" w:hAnsi="Times New Roman"/>
          <w:sz w:val="24"/>
        </w:rPr>
      </w:pPr>
    </w:p>
    <w:p w:rsidR="00EC53A3" w:rsidRPr="00020B31" w:rsidRDefault="00EC53A3" w:rsidP="00EC53A3">
      <w:pPr>
        <w:autoSpaceDE w:val="0"/>
        <w:autoSpaceDN w:val="0"/>
        <w:adjustRightInd w:val="0"/>
        <w:spacing w:line="240" w:lineRule="auto"/>
        <w:rPr>
          <w:rFonts w:ascii="Times New Roman" w:hAnsi="Times New Roman"/>
          <w:i/>
          <w:sz w:val="24"/>
        </w:rPr>
      </w:pPr>
      <w:r w:rsidRPr="00020B31">
        <w:rPr>
          <w:rFonts w:ascii="Times New Roman" w:hAnsi="Times New Roman"/>
          <w:i/>
          <w:sz w:val="24"/>
        </w:rPr>
        <w:t>The unit or room is a specific physical place that can be owned, rented or occupied under a</w:t>
      </w:r>
      <w:r w:rsidR="004A0476">
        <w:rPr>
          <w:rFonts w:ascii="Times New Roman" w:hAnsi="Times New Roman"/>
          <w:i/>
          <w:sz w:val="24"/>
        </w:rPr>
        <w:t xml:space="preserve"> </w:t>
      </w:r>
      <w:r w:rsidRPr="00020B31">
        <w:rPr>
          <w:rFonts w:ascii="Times New Roman" w:hAnsi="Times New Roman"/>
          <w:i/>
          <w:sz w:val="24"/>
        </w:rPr>
        <w:t xml:space="preserve">legally enforceable agreement </w:t>
      </w:r>
      <w:r w:rsidR="004A0476">
        <w:rPr>
          <w:rFonts w:ascii="Times New Roman" w:hAnsi="Times New Roman"/>
          <w:i/>
          <w:sz w:val="24"/>
        </w:rPr>
        <w:t>by the individual receiving services that defines the individual’s due process rights prior to any transfer or discharge</w:t>
      </w:r>
      <w:r w:rsidR="00976959" w:rsidRPr="00020B31">
        <w:rPr>
          <w:rFonts w:ascii="Times New Roman" w:hAnsi="Times New Roman"/>
          <w:i/>
          <w:sz w:val="24"/>
        </w:rPr>
        <w:t xml:space="preserve">. </w:t>
      </w:r>
    </w:p>
    <w:p w:rsidR="00AF17FB" w:rsidRDefault="00AF17FB" w:rsidP="00AF17FB">
      <w:pPr>
        <w:autoSpaceDE w:val="0"/>
        <w:autoSpaceDN w:val="0"/>
        <w:adjustRightInd w:val="0"/>
        <w:rPr>
          <w:rFonts w:ascii="Times New Roman" w:hAnsi="Times New Roman"/>
          <w:sz w:val="24"/>
        </w:rPr>
      </w:pPr>
    </w:p>
    <w:p w:rsidR="00A94B28" w:rsidRDefault="00AF17FB" w:rsidP="00EC53A3">
      <w:pPr>
        <w:autoSpaceDE w:val="0"/>
        <w:autoSpaceDN w:val="0"/>
        <w:adjustRightInd w:val="0"/>
        <w:spacing w:line="240" w:lineRule="auto"/>
        <w:rPr>
          <w:rFonts w:ascii="Times New Roman" w:hAnsi="Times New Roman"/>
          <w:sz w:val="24"/>
        </w:rPr>
      </w:pPr>
      <w:r>
        <w:rPr>
          <w:rFonts w:ascii="Times New Roman" w:hAnsi="Times New Roman"/>
          <w:sz w:val="24"/>
        </w:rPr>
        <w:t xml:space="preserve">CMS asked for comments about including as a criterion for provider-owned or controlled residential settings a requirement that receipt of any particular service or support cannot be a condition for living in the unit.  The Arc supports inclusion of the criterion and believes that individuals should have the right to choose their living environment as well as their supports and services.  Settings that require a type of treatment in order to participate in the program and live in the setting are not home and community-based settings.  </w:t>
      </w:r>
    </w:p>
    <w:p w:rsidR="00E8184B" w:rsidRDefault="00E8184B" w:rsidP="00E8184B">
      <w:pPr>
        <w:autoSpaceDE w:val="0"/>
        <w:autoSpaceDN w:val="0"/>
        <w:adjustRightInd w:val="0"/>
        <w:spacing w:line="240" w:lineRule="auto"/>
        <w:rPr>
          <w:rFonts w:ascii="Times New Roman" w:hAnsi="Times New Roman"/>
          <w:sz w:val="24"/>
        </w:rPr>
      </w:pPr>
    </w:p>
    <w:p w:rsidR="00E8184B" w:rsidRPr="005438B3" w:rsidRDefault="00E8184B" w:rsidP="0058504D">
      <w:pPr>
        <w:autoSpaceDE w:val="0"/>
        <w:autoSpaceDN w:val="0"/>
        <w:adjustRightInd w:val="0"/>
        <w:spacing w:line="240" w:lineRule="auto"/>
        <w:rPr>
          <w:rFonts w:ascii="Times New Roman" w:hAnsi="Times New Roman"/>
          <w:i/>
          <w:sz w:val="24"/>
        </w:rPr>
      </w:pPr>
      <w:r>
        <w:rPr>
          <w:rFonts w:ascii="Times New Roman" w:hAnsi="Times New Roman"/>
          <w:sz w:val="24"/>
        </w:rPr>
        <w:t>The Arc supports the delineation of settings that would not be considered home and community-based settings</w:t>
      </w:r>
      <w:r w:rsidR="000B4FBB">
        <w:rPr>
          <w:rFonts w:ascii="Times New Roman" w:hAnsi="Times New Roman"/>
          <w:sz w:val="24"/>
        </w:rPr>
        <w:t xml:space="preserve"> in </w:t>
      </w:r>
      <w:r w:rsidR="000B4FBB" w:rsidRPr="001F19F2">
        <w:rPr>
          <w:rFonts w:ascii="Times New Roman" w:hAnsi="Times New Roman"/>
          <w:b/>
          <w:sz w:val="24"/>
        </w:rPr>
        <w:t>Section 441.530 (a)(2) and Section 441.656(a)(2)</w:t>
      </w:r>
      <w:r>
        <w:rPr>
          <w:rFonts w:ascii="Times New Roman" w:hAnsi="Times New Roman"/>
          <w:sz w:val="24"/>
        </w:rPr>
        <w:t xml:space="preserve"> but believe</w:t>
      </w:r>
      <w:r w:rsidR="006403AD">
        <w:rPr>
          <w:rFonts w:ascii="Times New Roman" w:hAnsi="Times New Roman"/>
          <w:sz w:val="24"/>
        </w:rPr>
        <w:t>s</w:t>
      </w:r>
      <w:r>
        <w:rPr>
          <w:rFonts w:ascii="Times New Roman" w:hAnsi="Times New Roman"/>
          <w:sz w:val="24"/>
        </w:rPr>
        <w:t xml:space="preserve"> there should be additions to the list</w:t>
      </w:r>
      <w:r w:rsidR="000B4FBB">
        <w:rPr>
          <w:rFonts w:ascii="Times New Roman" w:hAnsi="Times New Roman"/>
          <w:sz w:val="24"/>
        </w:rPr>
        <w:t xml:space="preserve"> and one modification</w:t>
      </w:r>
      <w:r>
        <w:rPr>
          <w:rFonts w:ascii="Times New Roman" w:hAnsi="Times New Roman"/>
          <w:sz w:val="24"/>
        </w:rPr>
        <w:t xml:space="preserve">.  </w:t>
      </w:r>
      <w:r w:rsidR="000B4FBB">
        <w:rPr>
          <w:rFonts w:ascii="Times New Roman" w:hAnsi="Times New Roman"/>
          <w:sz w:val="24"/>
        </w:rPr>
        <w:t>We suggest that any setting that is located in a building or on the grounds of or adjacent to a public or private facility that provides institutional treatment</w:t>
      </w:r>
      <w:r w:rsidR="004915BD">
        <w:rPr>
          <w:rFonts w:ascii="Times New Roman" w:hAnsi="Times New Roman"/>
          <w:sz w:val="24"/>
        </w:rPr>
        <w:t xml:space="preserve"> be included in the list of settings that would not be considered home and community-based settings.</w:t>
      </w:r>
      <w:r w:rsidR="000B4FBB">
        <w:rPr>
          <w:rFonts w:ascii="Times New Roman" w:hAnsi="Times New Roman"/>
          <w:sz w:val="24"/>
        </w:rPr>
        <w:t xml:space="preserve"> </w:t>
      </w:r>
      <w:r>
        <w:rPr>
          <w:rFonts w:ascii="Times New Roman" w:hAnsi="Times New Roman"/>
          <w:sz w:val="24"/>
        </w:rPr>
        <w:t xml:space="preserve">We believe that </w:t>
      </w:r>
      <w:r w:rsidRPr="001F19F2">
        <w:rPr>
          <w:rFonts w:ascii="Times New Roman" w:hAnsi="Times New Roman"/>
          <w:sz w:val="24"/>
        </w:rPr>
        <w:t>Section 441.530(a</w:t>
      </w:r>
      <w:proofErr w:type="gramStart"/>
      <w:r w:rsidRPr="001F19F2">
        <w:rPr>
          <w:rFonts w:ascii="Times New Roman" w:hAnsi="Times New Roman"/>
          <w:sz w:val="24"/>
        </w:rPr>
        <w:t>)(</w:t>
      </w:r>
      <w:proofErr w:type="gramEnd"/>
      <w:r w:rsidRPr="001F19F2">
        <w:rPr>
          <w:rFonts w:ascii="Times New Roman" w:hAnsi="Times New Roman"/>
          <w:sz w:val="24"/>
        </w:rPr>
        <w:t>2)(iv) should mirror Section 441.656(a)(2)(iv)</w:t>
      </w:r>
      <w:r>
        <w:rPr>
          <w:rFonts w:ascii="Times New Roman" w:hAnsi="Times New Roman"/>
          <w:sz w:val="24"/>
        </w:rPr>
        <w:t xml:space="preserve"> and include any hospital, not just hospitals that provide long term care.  </w:t>
      </w:r>
    </w:p>
    <w:p w:rsidR="008D56A8" w:rsidRPr="00020B31" w:rsidRDefault="008D56A8" w:rsidP="0058504D">
      <w:pPr>
        <w:autoSpaceDE w:val="0"/>
        <w:autoSpaceDN w:val="0"/>
        <w:adjustRightInd w:val="0"/>
        <w:spacing w:line="240" w:lineRule="auto"/>
        <w:rPr>
          <w:rFonts w:ascii="Times New Roman" w:hAnsi="Times New Roman"/>
          <w:i/>
          <w:sz w:val="24"/>
        </w:rPr>
      </w:pPr>
    </w:p>
    <w:p w:rsidR="0044414F" w:rsidRPr="0058504D" w:rsidRDefault="0044414F" w:rsidP="0058504D">
      <w:pPr>
        <w:rPr>
          <w:rFonts w:ascii="Times New Roman" w:hAnsi="Times New Roman"/>
          <w:sz w:val="24"/>
        </w:rPr>
      </w:pPr>
      <w:r w:rsidRPr="0058504D">
        <w:rPr>
          <w:rFonts w:ascii="Times New Roman" w:hAnsi="Times New Roman"/>
          <w:sz w:val="24"/>
        </w:rPr>
        <w:t xml:space="preserve">In addition, we believe that CMS needs to add clarifications to prevent some unintended consequences.  Many state institutions across the country are located in or near neighborhoods within cities; while in other areas, suburbia has surrounded once rural institutions.  CMS needs to clarify that individuals living in their own typical homes, either by themselves, with roommates, or in the family home, even if adjacent to an “institution” (ICFs, nursing facilities, or hospitals) are not disqualified from HCBS services.  CMS should also address the situation where individuals live in a group home of typical size for the neighborhood, in close proximity to an ICF, nursing facility, or hospital with which it is </w:t>
      </w:r>
      <w:r w:rsidRPr="0058504D">
        <w:rPr>
          <w:rFonts w:ascii="Times New Roman" w:hAnsi="Times New Roman"/>
          <w:b/>
          <w:bCs/>
          <w:sz w:val="24"/>
        </w:rPr>
        <w:t>not associated in any way</w:t>
      </w:r>
      <w:r w:rsidRPr="0058504D">
        <w:rPr>
          <w:rFonts w:ascii="Times New Roman" w:hAnsi="Times New Roman"/>
          <w:sz w:val="24"/>
        </w:rPr>
        <w:t>.  This latter situation is becoming more common as living situations are becoming more dispersed.  Residents of the group home should not be penalized.</w:t>
      </w:r>
    </w:p>
    <w:p w:rsidR="0044414F" w:rsidRPr="0058504D" w:rsidRDefault="0044414F" w:rsidP="0058504D">
      <w:pPr>
        <w:rPr>
          <w:rFonts w:ascii="Times New Roman" w:hAnsi="Times New Roman"/>
          <w:sz w:val="24"/>
        </w:rPr>
      </w:pPr>
    </w:p>
    <w:p w:rsidR="007D150B" w:rsidRDefault="009E2B74" w:rsidP="00275ED4">
      <w:pPr>
        <w:autoSpaceDE w:val="0"/>
        <w:autoSpaceDN w:val="0"/>
        <w:adjustRightInd w:val="0"/>
        <w:spacing w:line="240" w:lineRule="auto"/>
        <w:rPr>
          <w:rFonts w:ascii="Times New Roman" w:hAnsi="Times New Roman"/>
          <w:sz w:val="24"/>
        </w:rPr>
      </w:pPr>
      <w:r>
        <w:rPr>
          <w:rFonts w:ascii="Times New Roman" w:hAnsi="Times New Roman"/>
          <w:sz w:val="24"/>
        </w:rPr>
        <w:t xml:space="preserve">The Arc </w:t>
      </w:r>
      <w:r w:rsidR="000B4FBB">
        <w:rPr>
          <w:rFonts w:ascii="Times New Roman" w:hAnsi="Times New Roman"/>
          <w:sz w:val="24"/>
        </w:rPr>
        <w:t>believes that CMS did not inten</w:t>
      </w:r>
      <w:r w:rsidR="001F19F2">
        <w:rPr>
          <w:rFonts w:ascii="Times New Roman" w:hAnsi="Times New Roman"/>
          <w:sz w:val="24"/>
        </w:rPr>
        <w:t>d</w:t>
      </w:r>
      <w:r w:rsidR="000B4FBB">
        <w:rPr>
          <w:rFonts w:ascii="Times New Roman" w:hAnsi="Times New Roman"/>
          <w:sz w:val="24"/>
        </w:rPr>
        <w:t xml:space="preserve"> to include group homes located in and fully integrated into typical neighborhoods within the meaning of</w:t>
      </w:r>
      <w:r>
        <w:rPr>
          <w:rFonts w:ascii="Times New Roman" w:hAnsi="Times New Roman"/>
          <w:sz w:val="24"/>
        </w:rPr>
        <w:t xml:space="preserve"> “disability-specific housing complex” in </w:t>
      </w:r>
      <w:r w:rsidRPr="00EE5BAB">
        <w:rPr>
          <w:rFonts w:ascii="Times New Roman" w:hAnsi="Times New Roman"/>
          <w:b/>
          <w:sz w:val="24"/>
        </w:rPr>
        <w:t>Section 441.530(a)(2)(v) and Section 441.656(a)(2)(v)</w:t>
      </w:r>
      <w:r w:rsidR="00503E4E" w:rsidRPr="001F19F2">
        <w:rPr>
          <w:rFonts w:ascii="Times New Roman" w:hAnsi="Times New Roman"/>
          <w:sz w:val="24"/>
        </w:rPr>
        <w:t>.  The Arc suggests that CMS clarify that our interpretation is correct.</w:t>
      </w:r>
      <w:r w:rsidR="00513FAC">
        <w:rPr>
          <w:rFonts w:ascii="Times New Roman" w:hAnsi="Times New Roman"/>
          <w:sz w:val="24"/>
        </w:rPr>
        <w:t xml:space="preserve"> </w:t>
      </w:r>
    </w:p>
    <w:p w:rsidR="007D150B" w:rsidRDefault="007D150B" w:rsidP="00275ED4">
      <w:pPr>
        <w:autoSpaceDE w:val="0"/>
        <w:autoSpaceDN w:val="0"/>
        <w:adjustRightInd w:val="0"/>
        <w:spacing w:line="240" w:lineRule="auto"/>
        <w:rPr>
          <w:rFonts w:ascii="Times New Roman" w:hAnsi="Times New Roman"/>
          <w:sz w:val="24"/>
        </w:rPr>
      </w:pPr>
    </w:p>
    <w:p w:rsidR="00275ED4" w:rsidRDefault="007D150B" w:rsidP="00EC53A3">
      <w:pPr>
        <w:autoSpaceDE w:val="0"/>
        <w:autoSpaceDN w:val="0"/>
        <w:adjustRightInd w:val="0"/>
        <w:spacing w:line="240" w:lineRule="auto"/>
        <w:rPr>
          <w:rFonts w:ascii="Times New Roman" w:hAnsi="Times New Roman"/>
          <w:sz w:val="24"/>
        </w:rPr>
      </w:pPr>
      <w:r>
        <w:rPr>
          <w:rFonts w:ascii="Times New Roman" w:hAnsi="Times New Roman"/>
          <w:sz w:val="24"/>
        </w:rPr>
        <w:t>The Arc believes that</w:t>
      </w:r>
      <w:r w:rsidR="00275ED4">
        <w:rPr>
          <w:rFonts w:ascii="Times New Roman" w:hAnsi="Times New Roman"/>
          <w:sz w:val="24"/>
        </w:rPr>
        <w:t xml:space="preserve"> there </w:t>
      </w:r>
      <w:r>
        <w:rPr>
          <w:rFonts w:ascii="Times New Roman" w:hAnsi="Times New Roman"/>
          <w:sz w:val="24"/>
        </w:rPr>
        <w:t>is</w:t>
      </w:r>
      <w:r w:rsidR="001112F0">
        <w:rPr>
          <w:rFonts w:ascii="Times New Roman" w:hAnsi="Times New Roman"/>
          <w:sz w:val="24"/>
        </w:rPr>
        <w:t xml:space="preserve"> </w:t>
      </w:r>
      <w:r w:rsidR="00275ED4">
        <w:rPr>
          <w:rFonts w:ascii="Times New Roman" w:hAnsi="Times New Roman"/>
          <w:sz w:val="24"/>
        </w:rPr>
        <w:t>a need to accommodate settings that resulted from past federal policy, for example the</w:t>
      </w:r>
      <w:r w:rsidR="00D01D25">
        <w:rPr>
          <w:rFonts w:ascii="Times New Roman" w:hAnsi="Times New Roman"/>
          <w:sz w:val="24"/>
        </w:rPr>
        <w:t xml:space="preserve"> HUD</w:t>
      </w:r>
      <w:r w:rsidR="00275ED4">
        <w:rPr>
          <w:rFonts w:ascii="Times New Roman" w:hAnsi="Times New Roman"/>
          <w:sz w:val="24"/>
        </w:rPr>
        <w:t xml:space="preserve"> Section 811</w:t>
      </w:r>
      <w:r w:rsidR="00D01D25">
        <w:rPr>
          <w:rFonts w:ascii="Times New Roman" w:hAnsi="Times New Roman"/>
          <w:sz w:val="24"/>
        </w:rPr>
        <w:t xml:space="preserve"> supportive housing for persons with disabilities program</w:t>
      </w:r>
      <w:r w:rsidR="00275ED4">
        <w:rPr>
          <w:rFonts w:ascii="Times New Roman" w:hAnsi="Times New Roman"/>
          <w:sz w:val="24"/>
        </w:rPr>
        <w:t xml:space="preserve"> </w:t>
      </w:r>
      <w:r w:rsidR="00275ED4">
        <w:rPr>
          <w:rFonts w:ascii="Times New Roman" w:hAnsi="Times New Roman"/>
          <w:sz w:val="24"/>
        </w:rPr>
        <w:lastRenderedPageBreak/>
        <w:t xml:space="preserve">complexes which carry long-term leases (typically a 30-year use restriction). </w:t>
      </w:r>
      <w:r w:rsidRPr="00B93052">
        <w:rPr>
          <w:rFonts w:ascii="Times New Roman" w:hAnsi="Times New Roman"/>
          <w:sz w:val="24"/>
        </w:rPr>
        <w:t xml:space="preserve">Beginning in 2012, under the Melville Act program, we expect that </w:t>
      </w:r>
      <w:r>
        <w:rPr>
          <w:rFonts w:ascii="Times New Roman" w:hAnsi="Times New Roman"/>
          <w:sz w:val="24"/>
        </w:rPr>
        <w:t>Section 811</w:t>
      </w:r>
      <w:r w:rsidRPr="00B93052">
        <w:rPr>
          <w:rFonts w:ascii="Times New Roman" w:hAnsi="Times New Roman"/>
          <w:sz w:val="24"/>
        </w:rPr>
        <w:t xml:space="preserve"> </w:t>
      </w:r>
      <w:r>
        <w:rPr>
          <w:rFonts w:ascii="Times New Roman" w:hAnsi="Times New Roman"/>
          <w:sz w:val="24"/>
        </w:rPr>
        <w:t>funds</w:t>
      </w:r>
      <w:r w:rsidRPr="00B93052">
        <w:rPr>
          <w:rFonts w:ascii="Times New Roman" w:hAnsi="Times New Roman"/>
          <w:sz w:val="24"/>
        </w:rPr>
        <w:t xml:space="preserve"> will be directed toward integrated settings. </w:t>
      </w:r>
      <w:r>
        <w:rPr>
          <w:rFonts w:ascii="Times New Roman" w:hAnsi="Times New Roman"/>
          <w:sz w:val="24"/>
        </w:rPr>
        <w:t>CMS should consider working with HUD to formulate federal policy to help transition facilities constructed with pre-Melville Act funds into integrated settings</w:t>
      </w:r>
      <w:r w:rsidR="001F19F2">
        <w:rPr>
          <w:rFonts w:ascii="Times New Roman" w:hAnsi="Times New Roman"/>
          <w:sz w:val="24"/>
        </w:rPr>
        <w:t>,</w:t>
      </w:r>
      <w:r w:rsidR="004915BD">
        <w:rPr>
          <w:rFonts w:ascii="Times New Roman" w:hAnsi="Times New Roman"/>
          <w:sz w:val="24"/>
        </w:rPr>
        <w:t xml:space="preserve"> </w:t>
      </w:r>
      <w:r w:rsidR="000D6C43" w:rsidRPr="001F19F2">
        <w:rPr>
          <w:rStyle w:val="apple-style-span"/>
          <w:rFonts w:ascii="Times New Roman" w:hAnsi="Times New Roman"/>
          <w:sz w:val="24"/>
        </w:rPr>
        <w:t xml:space="preserve">and any transition </w:t>
      </w:r>
      <w:r w:rsidR="001F19F2">
        <w:rPr>
          <w:rStyle w:val="apple-style-span"/>
          <w:rFonts w:ascii="Times New Roman" w:hAnsi="Times New Roman"/>
          <w:sz w:val="24"/>
        </w:rPr>
        <w:t xml:space="preserve">should </w:t>
      </w:r>
      <w:r w:rsidR="000D6C43" w:rsidRPr="001F19F2">
        <w:rPr>
          <w:rStyle w:val="apple-style-span"/>
          <w:rFonts w:ascii="Times New Roman" w:hAnsi="Times New Roman"/>
          <w:sz w:val="24"/>
        </w:rPr>
        <w:t>be accomplished in a manner that increases access to</w:t>
      </w:r>
      <w:r w:rsidR="000D6C43">
        <w:rPr>
          <w:rStyle w:val="apple-style-span"/>
        </w:rPr>
        <w:t xml:space="preserve"> </w:t>
      </w:r>
      <w:r w:rsidR="000D6C43" w:rsidRPr="001F19F2">
        <w:rPr>
          <w:rStyle w:val="apple-style-span"/>
          <w:rFonts w:ascii="Times New Roman" w:hAnsi="Times New Roman"/>
          <w:sz w:val="24"/>
        </w:rPr>
        <w:t>and availability of</w:t>
      </w:r>
      <w:r w:rsidR="000D6C43">
        <w:rPr>
          <w:rFonts w:ascii="Times New Roman" w:hAnsi="Times New Roman"/>
          <w:sz w:val="24"/>
        </w:rPr>
        <w:t xml:space="preserve"> </w:t>
      </w:r>
      <w:r w:rsidR="00503E4E">
        <w:rPr>
          <w:rFonts w:ascii="Times New Roman" w:hAnsi="Times New Roman"/>
          <w:sz w:val="24"/>
        </w:rPr>
        <w:t>affordable</w:t>
      </w:r>
      <w:r w:rsidR="004915BD">
        <w:rPr>
          <w:rFonts w:ascii="Times New Roman" w:hAnsi="Times New Roman"/>
          <w:sz w:val="24"/>
        </w:rPr>
        <w:t>, integrated</w:t>
      </w:r>
      <w:r w:rsidR="00503E4E">
        <w:rPr>
          <w:rFonts w:ascii="Times New Roman" w:hAnsi="Times New Roman"/>
          <w:sz w:val="24"/>
        </w:rPr>
        <w:t xml:space="preserve"> housing for individuals with disabilities</w:t>
      </w:r>
      <w:r>
        <w:rPr>
          <w:rFonts w:ascii="Times New Roman" w:hAnsi="Times New Roman"/>
          <w:sz w:val="24"/>
        </w:rPr>
        <w:t xml:space="preserve">.  </w:t>
      </w:r>
      <w:r w:rsidR="00275ED4">
        <w:rPr>
          <w:rFonts w:ascii="Times New Roman" w:hAnsi="Times New Roman"/>
          <w:sz w:val="24"/>
        </w:rPr>
        <w:t>The rule should include a “grandfathering” provision.  Consideration should be given to establishing a</w:t>
      </w:r>
      <w:r>
        <w:rPr>
          <w:rFonts w:ascii="Times New Roman" w:hAnsi="Times New Roman"/>
          <w:sz w:val="24"/>
        </w:rPr>
        <w:t xml:space="preserve"> reasonable</w:t>
      </w:r>
      <w:r w:rsidR="00275ED4">
        <w:rPr>
          <w:rFonts w:ascii="Times New Roman" w:hAnsi="Times New Roman"/>
          <w:sz w:val="24"/>
        </w:rPr>
        <w:t xml:space="preserve"> target date </w:t>
      </w:r>
      <w:r w:rsidR="00503E4E">
        <w:rPr>
          <w:rFonts w:ascii="Times New Roman" w:hAnsi="Times New Roman"/>
          <w:sz w:val="24"/>
        </w:rPr>
        <w:t>for</w:t>
      </w:r>
      <w:r w:rsidR="00593D57">
        <w:rPr>
          <w:rFonts w:ascii="Times New Roman" w:hAnsi="Times New Roman"/>
          <w:sz w:val="24"/>
        </w:rPr>
        <w:t xml:space="preserve"> completion of </w:t>
      </w:r>
      <w:r w:rsidR="001F19F2">
        <w:rPr>
          <w:rFonts w:ascii="Times New Roman" w:hAnsi="Times New Roman"/>
          <w:sz w:val="24"/>
        </w:rPr>
        <w:t xml:space="preserve">a </w:t>
      </w:r>
      <w:r w:rsidR="00593D57">
        <w:rPr>
          <w:rFonts w:ascii="Times New Roman" w:hAnsi="Times New Roman"/>
          <w:sz w:val="24"/>
        </w:rPr>
        <w:t>CMS-HUD transition process</w:t>
      </w:r>
      <w:r w:rsidR="00275ED4">
        <w:rPr>
          <w:rFonts w:ascii="Times New Roman" w:hAnsi="Times New Roman"/>
          <w:sz w:val="24"/>
        </w:rPr>
        <w:t>.  We believe that clarity about what is not a home and community-based setting together with a grandfather provision will move the provision of services forward without penalizing providers nor jeopardizing individuals who live in settings we no longer view as fully integrated in the community.</w:t>
      </w:r>
    </w:p>
    <w:p w:rsidR="0077774E" w:rsidRDefault="0077774E" w:rsidP="00EC53A3">
      <w:pPr>
        <w:autoSpaceDE w:val="0"/>
        <w:autoSpaceDN w:val="0"/>
        <w:adjustRightInd w:val="0"/>
        <w:spacing w:line="240" w:lineRule="auto"/>
        <w:rPr>
          <w:rFonts w:ascii="Times New Roman" w:hAnsi="Times New Roman"/>
          <w:sz w:val="24"/>
        </w:rPr>
      </w:pPr>
    </w:p>
    <w:p w:rsidR="00961FD5" w:rsidRDefault="00961FD5" w:rsidP="00961FD5">
      <w:pPr>
        <w:pStyle w:val="ListParagraph"/>
        <w:numPr>
          <w:ilvl w:val="0"/>
          <w:numId w:val="13"/>
        </w:numPr>
        <w:autoSpaceDE w:val="0"/>
        <w:autoSpaceDN w:val="0"/>
        <w:adjustRightInd w:val="0"/>
      </w:pPr>
      <w:r>
        <w:t>State Plan Home and Community-Based Services for Elderly and Disabled Individuals</w:t>
      </w:r>
    </w:p>
    <w:p w:rsidR="00961FD5" w:rsidRPr="00961FD5" w:rsidRDefault="00961FD5" w:rsidP="00961FD5">
      <w:pPr>
        <w:pStyle w:val="ListParagraph"/>
        <w:autoSpaceDE w:val="0"/>
        <w:autoSpaceDN w:val="0"/>
        <w:adjustRightInd w:val="0"/>
      </w:pPr>
    </w:p>
    <w:p w:rsidR="00A21925" w:rsidRDefault="00E12ED0" w:rsidP="00EC53A3">
      <w:pPr>
        <w:autoSpaceDE w:val="0"/>
        <w:autoSpaceDN w:val="0"/>
        <w:adjustRightInd w:val="0"/>
        <w:spacing w:line="240" w:lineRule="auto"/>
        <w:rPr>
          <w:rFonts w:ascii="Times New Roman" w:hAnsi="Times New Roman"/>
          <w:sz w:val="24"/>
        </w:rPr>
      </w:pPr>
      <w:r>
        <w:rPr>
          <w:rFonts w:ascii="Times New Roman" w:hAnsi="Times New Roman"/>
          <w:sz w:val="24"/>
        </w:rPr>
        <w:t xml:space="preserve">The Arc suggests that </w:t>
      </w:r>
      <w:r w:rsidRPr="00020B31">
        <w:rPr>
          <w:rFonts w:ascii="Times New Roman" w:hAnsi="Times New Roman"/>
          <w:b/>
          <w:sz w:val="24"/>
        </w:rPr>
        <w:t>Section 441.665(a</w:t>
      </w:r>
      <w:proofErr w:type="gramStart"/>
      <w:r w:rsidRPr="00020B31">
        <w:rPr>
          <w:rFonts w:ascii="Times New Roman" w:hAnsi="Times New Roman"/>
          <w:b/>
          <w:sz w:val="24"/>
        </w:rPr>
        <w:t>)(</w:t>
      </w:r>
      <w:proofErr w:type="gramEnd"/>
      <w:r w:rsidRPr="00020B31">
        <w:rPr>
          <w:rFonts w:ascii="Times New Roman" w:hAnsi="Times New Roman"/>
          <w:b/>
          <w:sz w:val="24"/>
        </w:rPr>
        <w:t>1)</w:t>
      </w:r>
      <w:r>
        <w:rPr>
          <w:rFonts w:ascii="Times New Roman" w:hAnsi="Times New Roman"/>
          <w:sz w:val="24"/>
        </w:rPr>
        <w:t xml:space="preserve"> address those individuals who are not able to indicate a choice of who</w:t>
      </w:r>
      <w:r w:rsidR="000A2AD4">
        <w:rPr>
          <w:rFonts w:ascii="Times New Roman" w:hAnsi="Times New Roman"/>
          <w:sz w:val="24"/>
        </w:rPr>
        <w:t>m</w:t>
      </w:r>
      <w:r>
        <w:rPr>
          <w:rFonts w:ascii="Times New Roman" w:hAnsi="Times New Roman"/>
          <w:sz w:val="24"/>
        </w:rPr>
        <w:t xml:space="preserve"> they would like to participate in the person-centered planning process.  For those individuals,</w:t>
      </w:r>
      <w:r w:rsidR="00A21925">
        <w:rPr>
          <w:rFonts w:ascii="Times New Roman" w:hAnsi="Times New Roman"/>
          <w:sz w:val="24"/>
        </w:rPr>
        <w:t xml:space="preserve"> the process should allow inclusion of</w:t>
      </w:r>
      <w:r>
        <w:rPr>
          <w:rFonts w:ascii="Times New Roman" w:hAnsi="Times New Roman"/>
          <w:sz w:val="24"/>
        </w:rPr>
        <w:t xml:space="preserve"> people who know and care about the individual</w:t>
      </w:r>
      <w:r w:rsidR="00A21925">
        <w:rPr>
          <w:rFonts w:ascii="Times New Roman" w:hAnsi="Times New Roman"/>
          <w:sz w:val="24"/>
        </w:rPr>
        <w:t>.</w:t>
      </w:r>
    </w:p>
    <w:p w:rsidR="00A21925" w:rsidRDefault="00A21925" w:rsidP="00EC53A3">
      <w:pPr>
        <w:autoSpaceDE w:val="0"/>
        <w:autoSpaceDN w:val="0"/>
        <w:adjustRightInd w:val="0"/>
        <w:spacing w:line="240" w:lineRule="auto"/>
        <w:rPr>
          <w:rFonts w:ascii="Times New Roman" w:hAnsi="Times New Roman"/>
          <w:sz w:val="24"/>
        </w:rPr>
      </w:pPr>
    </w:p>
    <w:p w:rsidR="00AB6B3D" w:rsidRDefault="00A21925" w:rsidP="00A21925">
      <w:pPr>
        <w:rPr>
          <w:rFonts w:ascii="Times New Roman" w:hAnsi="Times New Roman"/>
          <w:sz w:val="24"/>
        </w:rPr>
      </w:pPr>
      <w:r>
        <w:rPr>
          <w:rFonts w:ascii="Times New Roman" w:hAnsi="Times New Roman"/>
          <w:sz w:val="24"/>
        </w:rPr>
        <w:t xml:space="preserve">In </w:t>
      </w:r>
      <w:r w:rsidRPr="00020B31">
        <w:rPr>
          <w:rFonts w:ascii="Times New Roman" w:hAnsi="Times New Roman"/>
          <w:b/>
          <w:sz w:val="24"/>
        </w:rPr>
        <w:t>Section 441.665(a</w:t>
      </w:r>
      <w:proofErr w:type="gramStart"/>
      <w:r w:rsidRPr="00020B31">
        <w:rPr>
          <w:rFonts w:ascii="Times New Roman" w:hAnsi="Times New Roman"/>
          <w:b/>
          <w:sz w:val="24"/>
        </w:rPr>
        <w:t>)(</w:t>
      </w:r>
      <w:proofErr w:type="gramEnd"/>
      <w:r w:rsidRPr="00020B31">
        <w:rPr>
          <w:rFonts w:ascii="Times New Roman" w:hAnsi="Times New Roman"/>
          <w:b/>
          <w:sz w:val="24"/>
        </w:rPr>
        <w:t>2),</w:t>
      </w:r>
      <w:r>
        <w:rPr>
          <w:rFonts w:ascii="Times New Roman" w:hAnsi="Times New Roman"/>
          <w:sz w:val="24"/>
        </w:rPr>
        <w:t xml:space="preserve"> The Arc reiterates its suggestions made above concerning meaningful choice.  Extra efforts may be required to enable individuals with intellectual and developmental disabilities (I/DD) to direct the person-centered planning process to the maximum extent possible and to make informed choices and decisions.  Individuals leaving institutional settings</w:t>
      </w:r>
      <w:r w:rsidR="00AB6B3D">
        <w:rPr>
          <w:rFonts w:ascii="Times New Roman" w:hAnsi="Times New Roman"/>
          <w:sz w:val="24"/>
        </w:rPr>
        <w:t>, for example,</w:t>
      </w:r>
      <w:r>
        <w:rPr>
          <w:rFonts w:ascii="Times New Roman" w:hAnsi="Times New Roman"/>
          <w:sz w:val="24"/>
        </w:rPr>
        <w:t xml:space="preserve"> may never have had the opportunity to direct planning about their lives or to make their own decisions.  </w:t>
      </w:r>
      <w:r w:rsidR="00AB6B3D">
        <w:rPr>
          <w:rFonts w:ascii="Times New Roman" w:hAnsi="Times New Roman"/>
          <w:sz w:val="24"/>
        </w:rPr>
        <w:t>Some i</w:t>
      </w:r>
      <w:r>
        <w:rPr>
          <w:rFonts w:ascii="Times New Roman" w:hAnsi="Times New Roman"/>
          <w:sz w:val="24"/>
        </w:rPr>
        <w:t xml:space="preserve">ndividuals </w:t>
      </w:r>
      <w:r w:rsidR="00AB6B3D">
        <w:rPr>
          <w:rFonts w:ascii="Times New Roman" w:hAnsi="Times New Roman"/>
          <w:sz w:val="24"/>
        </w:rPr>
        <w:t xml:space="preserve">with </w:t>
      </w:r>
      <w:proofErr w:type="gramStart"/>
      <w:r w:rsidR="00AB6B3D">
        <w:rPr>
          <w:rFonts w:ascii="Times New Roman" w:hAnsi="Times New Roman"/>
          <w:sz w:val="24"/>
        </w:rPr>
        <w:t>I/DD</w:t>
      </w:r>
      <w:proofErr w:type="gramEnd"/>
      <w:r w:rsidR="00AB6B3D">
        <w:rPr>
          <w:rFonts w:ascii="Times New Roman" w:hAnsi="Times New Roman"/>
          <w:sz w:val="24"/>
        </w:rPr>
        <w:t xml:space="preserve"> will require exposure</w:t>
      </w:r>
      <w:r>
        <w:rPr>
          <w:rFonts w:ascii="Times New Roman" w:hAnsi="Times New Roman"/>
          <w:sz w:val="24"/>
        </w:rPr>
        <w:t xml:space="preserve"> to a variety of optio</w:t>
      </w:r>
      <w:r w:rsidR="00AB6B3D">
        <w:rPr>
          <w:rFonts w:ascii="Times New Roman" w:hAnsi="Times New Roman"/>
          <w:sz w:val="24"/>
        </w:rPr>
        <w:t xml:space="preserve">ns before they can make informed choices.  </w:t>
      </w:r>
      <w:r>
        <w:rPr>
          <w:rFonts w:ascii="Times New Roman" w:hAnsi="Times New Roman"/>
          <w:sz w:val="24"/>
        </w:rPr>
        <w:t xml:space="preserve">The planning process may take longer and require multiple meetings to ensure that the individual is participating and directing the process to the maximum extent and making his or her own decisions.  </w:t>
      </w:r>
      <w:r w:rsidR="00961FD5">
        <w:rPr>
          <w:rFonts w:ascii="Times New Roman" w:hAnsi="Times New Roman"/>
          <w:sz w:val="24"/>
        </w:rPr>
        <w:t>The Arc suggests the following:</w:t>
      </w:r>
    </w:p>
    <w:p w:rsidR="00961FD5" w:rsidRDefault="00961FD5" w:rsidP="00A21925">
      <w:pPr>
        <w:rPr>
          <w:rFonts w:ascii="Times New Roman" w:hAnsi="Times New Roman"/>
          <w:sz w:val="24"/>
        </w:rPr>
      </w:pPr>
    </w:p>
    <w:p w:rsidR="00961FD5" w:rsidRPr="00A87C4F" w:rsidRDefault="00961FD5" w:rsidP="00961FD5">
      <w:pPr>
        <w:rPr>
          <w:rFonts w:ascii="Times New Roman" w:hAnsi="Times New Roman"/>
          <w:i/>
          <w:sz w:val="24"/>
        </w:rPr>
      </w:pPr>
      <w:r>
        <w:rPr>
          <w:rFonts w:ascii="Times New Roman" w:hAnsi="Times New Roman"/>
          <w:i/>
          <w:sz w:val="24"/>
        </w:rPr>
        <w:t xml:space="preserve">The process: (2) Provides necessary information, support and experiences, if needed, to ensure that the individual directs the process to the maximum extent possible, and is provided </w:t>
      </w:r>
      <w:r w:rsidRPr="00A87C4F">
        <w:rPr>
          <w:rFonts w:ascii="Times New Roman" w:hAnsi="Times New Roman"/>
          <w:i/>
          <w:sz w:val="24"/>
        </w:rPr>
        <w:t>meaningful opportunity</w:t>
      </w:r>
      <w:r>
        <w:rPr>
          <w:rFonts w:ascii="Times New Roman" w:hAnsi="Times New Roman"/>
          <w:i/>
          <w:sz w:val="24"/>
        </w:rPr>
        <w:t xml:space="preserve"> to make informed choices and decisions.</w:t>
      </w:r>
      <w:r w:rsidRPr="00A87C4F">
        <w:rPr>
          <w:rFonts w:ascii="Times New Roman" w:hAnsi="Times New Roman"/>
          <w:i/>
          <w:sz w:val="24"/>
        </w:rPr>
        <w:t xml:space="preserve"> </w:t>
      </w:r>
    </w:p>
    <w:p w:rsidR="00AB6B3D" w:rsidRDefault="00AB6B3D" w:rsidP="00A21925">
      <w:pPr>
        <w:rPr>
          <w:rFonts w:ascii="Times New Roman" w:hAnsi="Times New Roman"/>
          <w:sz w:val="24"/>
        </w:rPr>
      </w:pPr>
    </w:p>
    <w:p w:rsidR="000B5C95" w:rsidRDefault="00AB6B3D" w:rsidP="00A21925">
      <w:pPr>
        <w:rPr>
          <w:rFonts w:ascii="Times New Roman" w:hAnsi="Times New Roman"/>
          <w:sz w:val="24"/>
        </w:rPr>
      </w:pPr>
      <w:r>
        <w:rPr>
          <w:rFonts w:ascii="Times New Roman" w:hAnsi="Times New Roman"/>
          <w:sz w:val="24"/>
        </w:rPr>
        <w:t xml:space="preserve">The Arc supports </w:t>
      </w:r>
      <w:r w:rsidRPr="00020B31">
        <w:rPr>
          <w:rFonts w:ascii="Times New Roman" w:hAnsi="Times New Roman"/>
          <w:b/>
          <w:sz w:val="24"/>
        </w:rPr>
        <w:t>Section 441.665(b),</w:t>
      </w:r>
      <w:r>
        <w:rPr>
          <w:rFonts w:ascii="Times New Roman" w:hAnsi="Times New Roman"/>
          <w:sz w:val="24"/>
        </w:rPr>
        <w:t xml:space="preserve"> </w:t>
      </w:r>
      <w:proofErr w:type="gramStart"/>
      <w:r>
        <w:rPr>
          <w:rFonts w:ascii="Times New Roman" w:hAnsi="Times New Roman"/>
          <w:sz w:val="24"/>
        </w:rPr>
        <w:t>The</w:t>
      </w:r>
      <w:proofErr w:type="gramEnd"/>
      <w:r>
        <w:rPr>
          <w:rFonts w:ascii="Times New Roman" w:hAnsi="Times New Roman"/>
          <w:sz w:val="24"/>
        </w:rPr>
        <w:t xml:space="preserve"> person-centered service plan.  We would suggest that equal emphasis be placed on what is important for the individual and what is </w:t>
      </w:r>
      <w:r w:rsidRPr="00AB6B3D">
        <w:rPr>
          <w:rFonts w:ascii="Times New Roman" w:hAnsi="Times New Roman"/>
          <w:i/>
          <w:sz w:val="24"/>
        </w:rPr>
        <w:t>important t</w:t>
      </w:r>
      <w:r>
        <w:rPr>
          <w:rFonts w:ascii="Times New Roman" w:hAnsi="Times New Roman"/>
          <w:i/>
          <w:sz w:val="24"/>
        </w:rPr>
        <w:t xml:space="preserve">o </w:t>
      </w:r>
      <w:r>
        <w:rPr>
          <w:rFonts w:ascii="Times New Roman" w:hAnsi="Times New Roman"/>
          <w:sz w:val="24"/>
        </w:rPr>
        <w:t>the individual</w:t>
      </w:r>
      <w:r w:rsidR="000B5C95">
        <w:rPr>
          <w:rFonts w:ascii="Times New Roman" w:hAnsi="Times New Roman"/>
          <w:sz w:val="24"/>
        </w:rPr>
        <w:t>.  The Arc suggests:</w:t>
      </w:r>
    </w:p>
    <w:p w:rsidR="000B5C95" w:rsidRDefault="000B5C95" w:rsidP="00A21925">
      <w:pPr>
        <w:rPr>
          <w:rFonts w:ascii="Times New Roman" w:hAnsi="Times New Roman"/>
          <w:sz w:val="24"/>
        </w:rPr>
      </w:pPr>
    </w:p>
    <w:p w:rsidR="00961FD5" w:rsidRDefault="000B5C95" w:rsidP="00A21925">
      <w:pPr>
        <w:rPr>
          <w:rFonts w:ascii="Times New Roman" w:hAnsi="Times New Roman"/>
          <w:sz w:val="24"/>
        </w:rPr>
      </w:pPr>
      <w:r w:rsidRPr="00020B31">
        <w:rPr>
          <w:rFonts w:ascii="Times New Roman" w:hAnsi="Times New Roman"/>
          <w:i/>
          <w:sz w:val="24"/>
        </w:rPr>
        <w:t>The person-centered service plan must reflect the services and supports that are important for the individual to meet the needs identified through an assessment of functional need</w:t>
      </w:r>
      <w:r>
        <w:rPr>
          <w:rFonts w:ascii="Times New Roman" w:hAnsi="Times New Roman"/>
          <w:i/>
          <w:sz w:val="24"/>
        </w:rPr>
        <w:t>,</w:t>
      </w:r>
      <w:r w:rsidRPr="00020B31">
        <w:rPr>
          <w:rFonts w:ascii="Times New Roman" w:hAnsi="Times New Roman"/>
          <w:i/>
          <w:sz w:val="24"/>
        </w:rPr>
        <w:t xml:space="preserve"> and what is important to the individual with regard to preferences for the delivery of such services and supports, including, but not limited to, living arrangement, neighborhood, leisure activities, </w:t>
      </w:r>
      <w:r w:rsidR="00150E45">
        <w:rPr>
          <w:rFonts w:ascii="Times New Roman" w:hAnsi="Times New Roman"/>
          <w:i/>
          <w:sz w:val="24"/>
        </w:rPr>
        <w:t xml:space="preserve">and </w:t>
      </w:r>
      <w:r w:rsidRPr="00020B31">
        <w:rPr>
          <w:rFonts w:ascii="Times New Roman" w:hAnsi="Times New Roman"/>
          <w:i/>
          <w:sz w:val="24"/>
        </w:rPr>
        <w:t>relationships.</w:t>
      </w:r>
      <w:r w:rsidDel="000B5C95">
        <w:rPr>
          <w:rFonts w:ascii="Times New Roman" w:hAnsi="Times New Roman"/>
          <w:sz w:val="24"/>
        </w:rPr>
        <w:t xml:space="preserve"> </w:t>
      </w:r>
    </w:p>
    <w:p w:rsidR="00961FD5" w:rsidRDefault="00961FD5" w:rsidP="00A21925">
      <w:pPr>
        <w:rPr>
          <w:rFonts w:ascii="Times New Roman" w:hAnsi="Times New Roman"/>
          <w:sz w:val="24"/>
        </w:rPr>
      </w:pPr>
    </w:p>
    <w:p w:rsidR="0074039E" w:rsidRDefault="00776EEB" w:rsidP="00A21925">
      <w:pPr>
        <w:rPr>
          <w:rFonts w:ascii="Times New Roman" w:hAnsi="Times New Roman"/>
          <w:sz w:val="24"/>
        </w:rPr>
      </w:pPr>
      <w:r>
        <w:rPr>
          <w:rFonts w:ascii="Times New Roman" w:hAnsi="Times New Roman"/>
          <w:sz w:val="24"/>
        </w:rPr>
        <w:lastRenderedPageBreak/>
        <w:t xml:space="preserve">The Arc suggests that </w:t>
      </w:r>
      <w:r w:rsidRPr="00020B31">
        <w:rPr>
          <w:rFonts w:ascii="Times New Roman" w:hAnsi="Times New Roman"/>
          <w:b/>
          <w:sz w:val="24"/>
        </w:rPr>
        <w:t>Section 441.668(c)</w:t>
      </w:r>
      <w:r>
        <w:rPr>
          <w:rFonts w:ascii="Times New Roman" w:hAnsi="Times New Roman"/>
          <w:sz w:val="24"/>
        </w:rPr>
        <w:t xml:space="preserve"> be strengthened.  </w:t>
      </w:r>
      <w:r w:rsidR="004758E0">
        <w:rPr>
          <w:rFonts w:ascii="Times New Roman" w:hAnsi="Times New Roman"/>
          <w:sz w:val="24"/>
        </w:rPr>
        <w:t xml:space="preserve">Agents performing independent assessments and plans of care will play critically important roles in individuals’ lives.  </w:t>
      </w:r>
      <w:r w:rsidR="0074039E">
        <w:rPr>
          <w:rFonts w:ascii="Times New Roman" w:hAnsi="Times New Roman"/>
          <w:sz w:val="24"/>
        </w:rPr>
        <w:t>The Arc suggests the following:</w:t>
      </w:r>
    </w:p>
    <w:p w:rsidR="0074039E" w:rsidRPr="00020B31" w:rsidRDefault="0074039E" w:rsidP="00A21925">
      <w:pPr>
        <w:rPr>
          <w:rFonts w:ascii="Times New Roman" w:hAnsi="Times New Roman"/>
          <w:i/>
          <w:sz w:val="24"/>
        </w:rPr>
      </w:pPr>
    </w:p>
    <w:p w:rsidR="00776EEB" w:rsidRPr="00020B31" w:rsidRDefault="0074039E" w:rsidP="00A21925">
      <w:pPr>
        <w:rPr>
          <w:rFonts w:ascii="Times New Roman" w:hAnsi="Times New Roman"/>
          <w:i/>
          <w:sz w:val="24"/>
        </w:rPr>
      </w:pPr>
      <w:r w:rsidRPr="00020B31">
        <w:rPr>
          <w:rFonts w:ascii="Times New Roman" w:hAnsi="Times New Roman"/>
          <w:i/>
          <w:sz w:val="24"/>
        </w:rPr>
        <w:t>Qualifications for agents performing independent assessments and plans of care must include training in evidence-based best practices in assessment of individuals whose physical or mental conditions trigger a potential need for home and community-based services and supports, current knowledge of best practices to improve health and quality of life outcomes,</w:t>
      </w:r>
      <w:r w:rsidR="004758E0" w:rsidRPr="00020B31">
        <w:rPr>
          <w:rFonts w:ascii="Times New Roman" w:hAnsi="Times New Roman"/>
          <w:i/>
          <w:sz w:val="24"/>
        </w:rPr>
        <w:t xml:space="preserve"> person-centered planning, </w:t>
      </w:r>
      <w:r w:rsidR="002723E9">
        <w:rPr>
          <w:rFonts w:ascii="Times New Roman" w:hAnsi="Times New Roman"/>
          <w:i/>
          <w:sz w:val="24"/>
        </w:rPr>
        <w:t xml:space="preserve">informed decision-making, </w:t>
      </w:r>
      <w:r w:rsidR="004758E0" w:rsidRPr="00020B31">
        <w:rPr>
          <w:rFonts w:ascii="Times New Roman" w:hAnsi="Times New Roman"/>
          <w:i/>
          <w:sz w:val="24"/>
        </w:rPr>
        <w:t xml:space="preserve">and improving the health and quality of life outcomes for people receiving home and community-based services.     </w:t>
      </w:r>
    </w:p>
    <w:p w:rsidR="004758E0" w:rsidRDefault="004758E0" w:rsidP="00A21925">
      <w:pPr>
        <w:rPr>
          <w:rFonts w:ascii="Times New Roman" w:hAnsi="Times New Roman"/>
          <w:sz w:val="24"/>
        </w:rPr>
      </w:pPr>
    </w:p>
    <w:p w:rsidR="0057169C" w:rsidRDefault="004758E0" w:rsidP="0057169C">
      <w:pPr>
        <w:autoSpaceDE w:val="0"/>
        <w:autoSpaceDN w:val="0"/>
        <w:adjustRightInd w:val="0"/>
        <w:spacing w:line="240" w:lineRule="auto"/>
        <w:rPr>
          <w:rFonts w:ascii="Times New Roman" w:hAnsi="Times New Roman"/>
          <w:sz w:val="24"/>
        </w:rPr>
      </w:pPr>
      <w:r>
        <w:rPr>
          <w:rFonts w:ascii="Times New Roman" w:hAnsi="Times New Roman"/>
          <w:sz w:val="24"/>
        </w:rPr>
        <w:t xml:space="preserve">In </w:t>
      </w:r>
      <w:r w:rsidRPr="00020B31">
        <w:rPr>
          <w:rFonts w:ascii="Times New Roman" w:hAnsi="Times New Roman"/>
          <w:b/>
          <w:sz w:val="24"/>
        </w:rPr>
        <w:t>Section 441.671(c),</w:t>
      </w:r>
      <w:r>
        <w:rPr>
          <w:rFonts w:ascii="Times New Roman" w:hAnsi="Times New Roman"/>
          <w:sz w:val="24"/>
        </w:rPr>
        <w:t xml:space="preserve"> The Arc has concerns about the term “best interest.”  </w:t>
      </w:r>
      <w:r w:rsidR="00CF7B56">
        <w:rPr>
          <w:rFonts w:ascii="Times New Roman" w:hAnsi="Times New Roman"/>
          <w:sz w:val="24"/>
        </w:rPr>
        <w:t>The representative should use substituted judgment rather than best interest when acting as the individual’s chosen representative.  Exceptions to using substituted judgment are warranted if following the individual’s wishes would cause substantial harm to the individual or if the representative cannot ascertain the individual’s wishes. In those situations, the best interest standard must be used.</w:t>
      </w:r>
      <w:r w:rsidR="0057169C">
        <w:rPr>
          <w:rFonts w:ascii="Times New Roman" w:hAnsi="Times New Roman"/>
          <w:sz w:val="24"/>
        </w:rPr>
        <w:t xml:space="preserve"> The Arc suggests that the section read as follows:</w:t>
      </w:r>
    </w:p>
    <w:p w:rsidR="0057169C" w:rsidRDefault="0057169C" w:rsidP="0057169C">
      <w:pPr>
        <w:autoSpaceDE w:val="0"/>
        <w:autoSpaceDN w:val="0"/>
        <w:adjustRightInd w:val="0"/>
        <w:spacing w:line="240" w:lineRule="auto"/>
        <w:rPr>
          <w:rFonts w:ascii="Times New Roman" w:hAnsi="Times New Roman"/>
          <w:sz w:val="24"/>
        </w:rPr>
      </w:pPr>
    </w:p>
    <w:p w:rsidR="0057169C" w:rsidRPr="00BC330B" w:rsidRDefault="0057169C" w:rsidP="0057169C">
      <w:pPr>
        <w:autoSpaceDE w:val="0"/>
        <w:autoSpaceDN w:val="0"/>
        <w:adjustRightInd w:val="0"/>
        <w:spacing w:line="240" w:lineRule="auto"/>
        <w:rPr>
          <w:rFonts w:ascii="Times New Roman" w:hAnsi="Times New Roman"/>
          <w:i/>
          <w:sz w:val="24"/>
        </w:rPr>
      </w:pPr>
      <w:r w:rsidRPr="00BC330B">
        <w:rPr>
          <w:rFonts w:ascii="Times New Roman" w:hAnsi="Times New Roman"/>
          <w:i/>
          <w:sz w:val="24"/>
        </w:rPr>
        <w:t xml:space="preserve">When the state authorizes representatives in accordance with paragraph (b) of this section, the State must have policies describing the process for authorization; the extent of decision-making authorized; and safeguards to ensure that the representative uses substituted </w:t>
      </w:r>
      <w:r w:rsidR="005843C9" w:rsidRPr="00BC330B">
        <w:rPr>
          <w:rFonts w:ascii="Times New Roman" w:hAnsi="Times New Roman"/>
          <w:i/>
          <w:sz w:val="24"/>
        </w:rPr>
        <w:t>judgment</w:t>
      </w:r>
      <w:r w:rsidRPr="00BC330B">
        <w:rPr>
          <w:rFonts w:ascii="Times New Roman" w:hAnsi="Times New Roman"/>
          <w:i/>
          <w:sz w:val="24"/>
        </w:rPr>
        <w:t xml:space="preserve"> on behalf of the individual.  State policies must address exceptions to using substituted judgment when the individual’s wishes cannot be ascertained or when the individual’s wishes would result in substantial harm to the individual.  States may not refuse the authorized representative that the individual chooses, unless in the process of applying the requirements for authorization, the State discovers and can document evidence that the representative is not acting in accordance with these policies or cannot perform the required functions.</w:t>
      </w:r>
    </w:p>
    <w:p w:rsidR="0057169C" w:rsidRDefault="0057169C" w:rsidP="0057169C">
      <w:pPr>
        <w:autoSpaceDE w:val="0"/>
        <w:autoSpaceDN w:val="0"/>
        <w:adjustRightInd w:val="0"/>
        <w:spacing w:line="240" w:lineRule="auto"/>
        <w:rPr>
          <w:rFonts w:ascii="Times New Roman" w:hAnsi="Times New Roman"/>
          <w:sz w:val="24"/>
        </w:rPr>
      </w:pPr>
    </w:p>
    <w:p w:rsidR="00BC0B27" w:rsidRDefault="00BC0B27" w:rsidP="00CF7B56">
      <w:pPr>
        <w:autoSpaceDE w:val="0"/>
        <w:autoSpaceDN w:val="0"/>
        <w:adjustRightInd w:val="0"/>
        <w:spacing w:line="240" w:lineRule="auto"/>
        <w:rPr>
          <w:rFonts w:ascii="Times New Roman" w:hAnsi="Times New Roman"/>
          <w:sz w:val="24"/>
        </w:rPr>
      </w:pPr>
      <w:r>
        <w:rPr>
          <w:rFonts w:ascii="Times New Roman" w:hAnsi="Times New Roman"/>
          <w:sz w:val="24"/>
        </w:rPr>
        <w:t>CMS may wish to refer to the National Guardianship Associations Standards of Practice</w:t>
      </w:r>
      <w:r w:rsidR="00645FA1">
        <w:rPr>
          <w:rFonts w:ascii="Times New Roman" w:hAnsi="Times New Roman"/>
          <w:sz w:val="24"/>
        </w:rPr>
        <w:t>, 7- Standards for Decision-Making</w:t>
      </w:r>
      <w:r w:rsidR="00BC6CC9">
        <w:rPr>
          <w:rStyle w:val="FootnoteReference"/>
          <w:rFonts w:ascii="Times New Roman" w:hAnsi="Times New Roman"/>
          <w:sz w:val="24"/>
        </w:rPr>
        <w:footnoteReference w:id="1"/>
      </w:r>
      <w:r>
        <w:rPr>
          <w:rFonts w:ascii="Times New Roman" w:hAnsi="Times New Roman"/>
          <w:sz w:val="24"/>
        </w:rPr>
        <w:t xml:space="preserve"> </w:t>
      </w:r>
    </w:p>
    <w:p w:rsidR="004A6A1A" w:rsidRDefault="004A6A1A" w:rsidP="00CF7B56">
      <w:pPr>
        <w:autoSpaceDE w:val="0"/>
        <w:autoSpaceDN w:val="0"/>
        <w:adjustRightInd w:val="0"/>
        <w:spacing w:line="240" w:lineRule="auto"/>
        <w:rPr>
          <w:rFonts w:ascii="Times New Roman" w:hAnsi="Times New Roman"/>
          <w:sz w:val="24"/>
        </w:rPr>
      </w:pPr>
    </w:p>
    <w:p w:rsidR="004A6A1A" w:rsidRDefault="004A6A1A" w:rsidP="00CF7B56">
      <w:pPr>
        <w:autoSpaceDE w:val="0"/>
        <w:autoSpaceDN w:val="0"/>
        <w:adjustRightInd w:val="0"/>
        <w:spacing w:line="240" w:lineRule="auto"/>
        <w:rPr>
          <w:rFonts w:ascii="Times New Roman" w:hAnsi="Times New Roman"/>
          <w:sz w:val="24"/>
        </w:rPr>
      </w:pPr>
      <w:r>
        <w:rPr>
          <w:rFonts w:ascii="Times New Roman" w:hAnsi="Times New Roman"/>
          <w:sz w:val="24"/>
        </w:rPr>
        <w:t xml:space="preserve">The Arc believes that these rules would not preclude receipt of certain home and community-based services, employment supports for example, simply because an individual, who did not request or receive residential services, were residing in a setting that did not meet the qualities of a home and community-based setting, a board and care setting, for example.  The Arc believes that individuals </w:t>
      </w:r>
      <w:r>
        <w:rPr>
          <w:rFonts w:ascii="Times New Roman" w:hAnsi="Times New Roman"/>
          <w:sz w:val="24"/>
        </w:rPr>
        <w:lastRenderedPageBreak/>
        <w:t xml:space="preserve">should be able to receive employment and other supports that would enable them to participate </w:t>
      </w:r>
      <w:r w:rsidR="001F19F2">
        <w:rPr>
          <w:rFonts w:ascii="Times New Roman" w:hAnsi="Times New Roman"/>
          <w:sz w:val="24"/>
        </w:rPr>
        <w:t>in integrated</w:t>
      </w:r>
      <w:r>
        <w:rPr>
          <w:rFonts w:ascii="Times New Roman" w:hAnsi="Times New Roman"/>
          <w:sz w:val="24"/>
        </w:rPr>
        <w:t xml:space="preserve"> activities even if they reside in settings that are not home and community-based.  The Arc requests that CMS clarify this position.</w:t>
      </w:r>
    </w:p>
    <w:p w:rsidR="00BC0B27" w:rsidRDefault="00BC0B27" w:rsidP="00CF7B56">
      <w:pPr>
        <w:autoSpaceDE w:val="0"/>
        <w:autoSpaceDN w:val="0"/>
        <w:adjustRightInd w:val="0"/>
        <w:spacing w:line="240" w:lineRule="auto"/>
        <w:rPr>
          <w:rFonts w:ascii="Times New Roman" w:hAnsi="Times New Roman"/>
          <w:sz w:val="24"/>
        </w:rPr>
      </w:pPr>
    </w:p>
    <w:p w:rsidR="00BC0B27" w:rsidRDefault="00BC0B27" w:rsidP="00CF7B56">
      <w:pPr>
        <w:autoSpaceDE w:val="0"/>
        <w:autoSpaceDN w:val="0"/>
        <w:adjustRightInd w:val="0"/>
        <w:spacing w:line="240" w:lineRule="auto"/>
        <w:rPr>
          <w:rFonts w:ascii="Times New Roman" w:hAnsi="Times New Roman"/>
          <w:sz w:val="24"/>
        </w:rPr>
      </w:pPr>
      <w:r>
        <w:rPr>
          <w:rFonts w:ascii="Times New Roman" w:hAnsi="Times New Roman"/>
          <w:sz w:val="24"/>
        </w:rPr>
        <w:t>The Arc appreciates t</w:t>
      </w:r>
      <w:r w:rsidR="00645FA1">
        <w:rPr>
          <w:rFonts w:ascii="Times New Roman" w:hAnsi="Times New Roman"/>
          <w:sz w:val="24"/>
        </w:rPr>
        <w:t>he</w:t>
      </w:r>
      <w:r>
        <w:rPr>
          <w:rFonts w:ascii="Times New Roman" w:hAnsi="Times New Roman"/>
          <w:sz w:val="24"/>
        </w:rPr>
        <w:t xml:space="preserve"> opportunity to comment on the proposed regulations.</w:t>
      </w:r>
    </w:p>
    <w:p w:rsidR="00BC0B27" w:rsidRDefault="00BC0B27" w:rsidP="00CF7B56">
      <w:pPr>
        <w:autoSpaceDE w:val="0"/>
        <w:autoSpaceDN w:val="0"/>
        <w:adjustRightInd w:val="0"/>
        <w:spacing w:line="240" w:lineRule="auto"/>
        <w:rPr>
          <w:rFonts w:ascii="Times New Roman" w:hAnsi="Times New Roman"/>
          <w:sz w:val="24"/>
        </w:rPr>
      </w:pPr>
    </w:p>
    <w:p w:rsidR="00BC0B27" w:rsidRDefault="00BC0B27" w:rsidP="00CF7B56">
      <w:pPr>
        <w:autoSpaceDE w:val="0"/>
        <w:autoSpaceDN w:val="0"/>
        <w:adjustRightInd w:val="0"/>
        <w:spacing w:line="240" w:lineRule="auto"/>
        <w:rPr>
          <w:rFonts w:ascii="Times New Roman" w:hAnsi="Times New Roman"/>
          <w:sz w:val="24"/>
        </w:rPr>
      </w:pPr>
      <w:r>
        <w:rPr>
          <w:rFonts w:ascii="Times New Roman" w:hAnsi="Times New Roman"/>
          <w:sz w:val="24"/>
        </w:rPr>
        <w:t>Sincerely,</w:t>
      </w:r>
    </w:p>
    <w:p w:rsidR="00BC0B27" w:rsidRDefault="00BC0B27" w:rsidP="00CF7B56">
      <w:pPr>
        <w:autoSpaceDE w:val="0"/>
        <w:autoSpaceDN w:val="0"/>
        <w:adjustRightInd w:val="0"/>
        <w:spacing w:line="240" w:lineRule="auto"/>
        <w:rPr>
          <w:rFonts w:ascii="Times New Roman" w:hAnsi="Times New Roman"/>
          <w:noProof/>
          <w:sz w:val="24"/>
        </w:rPr>
      </w:pPr>
    </w:p>
    <w:p w:rsidR="00BC0B27" w:rsidRDefault="00BC0B27" w:rsidP="00CF7B56">
      <w:pPr>
        <w:autoSpaceDE w:val="0"/>
        <w:autoSpaceDN w:val="0"/>
        <w:adjustRightInd w:val="0"/>
        <w:spacing w:line="240" w:lineRule="auto"/>
        <w:rPr>
          <w:rFonts w:ascii="Times New Roman" w:hAnsi="Times New Roman"/>
          <w:noProof/>
          <w:sz w:val="24"/>
        </w:rPr>
      </w:pPr>
      <w:r>
        <w:rPr>
          <w:rFonts w:ascii="Times New Roman" w:hAnsi="Times New Roman"/>
          <w:noProof/>
          <w:sz w:val="24"/>
        </w:rPr>
        <w:t>Maureen Fitzgerald</w:t>
      </w:r>
    </w:p>
    <w:p w:rsidR="00B93052" w:rsidRDefault="00BC0B27" w:rsidP="00B93052">
      <w:pPr>
        <w:autoSpaceDE w:val="0"/>
        <w:autoSpaceDN w:val="0"/>
        <w:adjustRightInd w:val="0"/>
        <w:spacing w:line="240" w:lineRule="auto"/>
        <w:rPr>
          <w:rFonts w:ascii="Times New Roman" w:hAnsi="Times New Roman"/>
          <w:sz w:val="24"/>
        </w:rPr>
      </w:pPr>
      <w:r>
        <w:rPr>
          <w:rFonts w:ascii="Times New Roman" w:hAnsi="Times New Roman"/>
          <w:noProof/>
          <w:sz w:val="24"/>
        </w:rPr>
        <w:t>Director</w:t>
      </w:r>
      <w:r w:rsidR="00645FA1">
        <w:rPr>
          <w:rFonts w:ascii="Times New Roman" w:hAnsi="Times New Roman"/>
          <w:noProof/>
          <w:sz w:val="24"/>
        </w:rPr>
        <w:t>,</w:t>
      </w:r>
      <w:r>
        <w:rPr>
          <w:rFonts w:ascii="Times New Roman" w:hAnsi="Times New Roman"/>
          <w:noProof/>
          <w:sz w:val="24"/>
        </w:rPr>
        <w:t xml:space="preserve"> Disability Rights</w:t>
      </w:r>
      <w:r w:rsidR="00BA3BA4">
        <w:rPr>
          <w:rFonts w:ascii="Times New Roman" w:hAnsi="Times New Roman"/>
          <w:sz w:val="24"/>
        </w:rPr>
        <w:br/>
      </w:r>
      <w:bookmarkStart w:id="0" w:name="_GoBack"/>
      <w:bookmarkEnd w:id="0"/>
    </w:p>
    <w:sectPr w:rsidR="00B93052" w:rsidSect="00740AAA">
      <w:footerReference w:type="default" r:id="rId9"/>
      <w:headerReference w:type="first" r:id="rId10"/>
      <w:footerReference w:type="first" r:id="rId11"/>
      <w:type w:val="continuous"/>
      <w:pgSz w:w="12240" w:h="15840"/>
      <w:pgMar w:top="1872" w:right="1728" w:bottom="1296" w:left="994" w:header="90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76" w:rsidRDefault="004A0476">
      <w:pPr>
        <w:spacing w:line="240" w:lineRule="auto"/>
      </w:pPr>
      <w:r>
        <w:separator/>
      </w:r>
    </w:p>
  </w:endnote>
  <w:endnote w:type="continuationSeparator" w:id="0">
    <w:p w:rsidR="004A0476" w:rsidRDefault="004A0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76" w:rsidRDefault="004A0476">
    <w:pPr>
      <w:pStyle w:val="Footer"/>
    </w:pPr>
    <w:r>
      <w:rPr>
        <w:szCs w:val="20"/>
      </w:rPr>
      <w:pict>
        <v:shapetype id="_x0000_t202" coordsize="21600,21600" o:spt="202" path="m,l,21600r21600,l21600,xe">
          <v:stroke joinstyle="miter"/>
          <v:path gradientshapeok="t" o:connecttype="rect"/>
        </v:shapetype>
        <v:shape id="_x0000_s2051" type="#_x0000_t202" style="position:absolute;margin-left:526.05pt;margin-top:10in;width:36pt;height:18pt;z-index:251658752;mso-wrap-edited:f;mso-position-horizontal-relative:page;mso-position-vertical-relative:page" wrapcoords="0 0 21600 0 21600 21600 0 21600 0 0" filled="f" stroked="f">
          <v:textbox inset="0,0,0,0">
            <w:txbxContent>
              <w:p w:rsidR="004A0476" w:rsidRDefault="004A0476" w:rsidP="00480DE9">
                <w:pPr>
                  <w:jc w:val="right"/>
                </w:pPr>
                <w:r>
                  <w:fldChar w:fldCharType="begin"/>
                </w:r>
                <w:r>
                  <w:instrText xml:space="preserve"> PAGE </w:instrText>
                </w:r>
                <w:r>
                  <w:fldChar w:fldCharType="separate"/>
                </w:r>
                <w:r w:rsidR="00385BD7">
                  <w:rPr>
                    <w:noProof/>
                  </w:rPr>
                  <w:t>6</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76" w:rsidRDefault="004A0476">
    <w:pPr>
      <w:pStyle w:val="Footer"/>
    </w:pPr>
    <w:r>
      <w:rPr>
        <w:szCs w:val="20"/>
      </w:rPr>
      <w:pict>
        <v:rect id="_x0000_s2049" style="position:absolute;margin-left:0;margin-top:694.7pt;width:612pt;height:97.2pt;z-index:251655680;mso-position-horizontal-relative:page;mso-position-vertical-relative:page" filled="f" fillcolor="#930" stroked="f">
          <w10:wrap type="square" anchorx="page" anchory="page"/>
        </v:rect>
      </w:pict>
    </w:r>
    <w:r>
      <w:rPr>
        <w:noProof/>
        <w:szCs w:val="20"/>
      </w:rPr>
      <w:drawing>
        <wp:anchor distT="0" distB="0" distL="114300" distR="114300" simplePos="0" relativeHeight="251656704" behindDoc="0" locked="0" layoutInCell="1" allowOverlap="1" wp14:anchorId="21807C83" wp14:editId="59357751">
          <wp:simplePos x="0" y="0"/>
          <wp:positionH relativeFrom="page">
            <wp:posOffset>621665</wp:posOffset>
          </wp:positionH>
          <wp:positionV relativeFrom="page">
            <wp:posOffset>9311005</wp:posOffset>
          </wp:positionV>
          <wp:extent cx="1633855" cy="186055"/>
          <wp:effectExtent l="19050" t="0" r="4445" b="0"/>
          <wp:wrapNone/>
          <wp:docPr id="6" name="Picture 1" descr="The Arc Tagline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 Tagline for Word"/>
                  <pic:cNvPicPr>
                    <a:picLocks noChangeAspect="1" noChangeArrowheads="1"/>
                  </pic:cNvPicPr>
                </pic:nvPicPr>
                <pic:blipFill>
                  <a:blip r:embed="rId1"/>
                  <a:srcRect/>
                  <a:stretch>
                    <a:fillRect/>
                  </a:stretch>
                </pic:blipFill>
                <pic:spPr bwMode="auto">
                  <a:xfrm>
                    <a:off x="0" y="0"/>
                    <a:ext cx="1633855" cy="1860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76" w:rsidRDefault="004A0476">
      <w:pPr>
        <w:spacing w:line="240" w:lineRule="auto"/>
      </w:pPr>
      <w:r>
        <w:separator/>
      </w:r>
    </w:p>
  </w:footnote>
  <w:footnote w:type="continuationSeparator" w:id="0">
    <w:p w:rsidR="004A0476" w:rsidRDefault="004A0476">
      <w:pPr>
        <w:spacing w:line="240" w:lineRule="auto"/>
      </w:pPr>
      <w:r>
        <w:continuationSeparator/>
      </w:r>
    </w:p>
  </w:footnote>
  <w:footnote w:id="1">
    <w:p w:rsidR="004A0476" w:rsidRPr="007C5D75" w:rsidRDefault="004A0476" w:rsidP="00BC6CC9">
      <w:pPr>
        <w:autoSpaceDE w:val="0"/>
        <w:autoSpaceDN w:val="0"/>
        <w:adjustRightInd w:val="0"/>
        <w:spacing w:line="240" w:lineRule="auto"/>
        <w:rPr>
          <w:rFonts w:ascii="Times New Roman" w:hAnsi="Times New Roman"/>
          <w:szCs w:val="20"/>
        </w:rPr>
      </w:pPr>
      <w:r>
        <w:rPr>
          <w:rStyle w:val="FootnoteReference"/>
        </w:rPr>
        <w:footnoteRef/>
      </w:r>
      <w:r>
        <w:t xml:space="preserve"> </w:t>
      </w:r>
      <w:proofErr w:type="gramStart"/>
      <w:r w:rsidRPr="007C5D75">
        <w:rPr>
          <w:rFonts w:ascii="Times New Roman" w:hAnsi="Times New Roman"/>
          <w:szCs w:val="20"/>
        </w:rPr>
        <w:t xml:space="preserve">National Guardianship Association </w:t>
      </w:r>
      <w:r w:rsidRPr="007C5D75">
        <w:rPr>
          <w:rFonts w:ascii="Times New Roman" w:hAnsi="Times New Roman"/>
          <w:i/>
          <w:szCs w:val="20"/>
        </w:rPr>
        <w:t>Standards of Practice Third Edition 2007.</w:t>
      </w:r>
      <w:proofErr w:type="gramEnd"/>
      <w:r w:rsidRPr="007C5D75">
        <w:rPr>
          <w:rFonts w:ascii="Times New Roman" w:hAnsi="Times New Roman"/>
          <w:i/>
          <w:szCs w:val="20"/>
        </w:rPr>
        <w:t xml:space="preserve"> </w:t>
      </w:r>
      <w:hyperlink r:id="rId1" w:history="1">
        <w:r w:rsidRPr="007C5D75">
          <w:rPr>
            <w:rStyle w:val="Hyperlink"/>
            <w:rFonts w:ascii="Times New Roman" w:hAnsi="Times New Roman"/>
            <w:szCs w:val="20"/>
          </w:rPr>
          <w:t>http://www.guardianship.org/documents/Standards_of_Practice.pdf</w:t>
        </w:r>
      </w:hyperlink>
      <w:r w:rsidRPr="007C5D75">
        <w:rPr>
          <w:rFonts w:ascii="Times New Roman" w:hAnsi="Times New Roman"/>
          <w:szCs w:val="20"/>
        </w:rPr>
        <w:t>.   Accessed 6/26/12.</w:t>
      </w:r>
    </w:p>
    <w:p w:rsidR="004A0476" w:rsidRPr="007C5D75" w:rsidRDefault="004A0476" w:rsidP="00BC6CC9">
      <w:pPr>
        <w:autoSpaceDE w:val="0"/>
        <w:autoSpaceDN w:val="0"/>
        <w:adjustRightInd w:val="0"/>
        <w:spacing w:line="240" w:lineRule="auto"/>
        <w:rPr>
          <w:rFonts w:ascii="Times New Roman" w:hAnsi="Times New Roman"/>
          <w:szCs w:val="20"/>
        </w:rPr>
      </w:pPr>
      <w:r w:rsidRPr="007C5D75">
        <w:rPr>
          <w:rFonts w:ascii="Times New Roman" w:hAnsi="Times New Roman"/>
          <w:szCs w:val="20"/>
        </w:rPr>
        <w:t>II. SUBSTITUTED JUDGMENT</w:t>
      </w:r>
    </w:p>
    <w:p w:rsidR="004A0476" w:rsidRPr="007C5D75" w:rsidRDefault="004A0476" w:rsidP="00BC6CC9">
      <w:pPr>
        <w:autoSpaceDE w:val="0"/>
        <w:autoSpaceDN w:val="0"/>
        <w:adjustRightInd w:val="0"/>
        <w:spacing w:line="240" w:lineRule="auto"/>
        <w:rPr>
          <w:rFonts w:ascii="Times New Roman" w:hAnsi="Times New Roman"/>
          <w:szCs w:val="20"/>
        </w:rPr>
      </w:pPr>
      <w:r w:rsidRPr="007C5D75">
        <w:rPr>
          <w:rFonts w:ascii="Times New Roman" w:hAnsi="Times New Roman"/>
          <w:szCs w:val="20"/>
        </w:rPr>
        <w:t>A. Substituted Judgment is the principle of decision-making that substitutes,</w:t>
      </w:r>
    </w:p>
    <w:p w:rsidR="004A0476" w:rsidRPr="007C5D75" w:rsidRDefault="004A0476" w:rsidP="00BC6CC9">
      <w:pPr>
        <w:autoSpaceDE w:val="0"/>
        <w:autoSpaceDN w:val="0"/>
        <w:adjustRightInd w:val="0"/>
        <w:spacing w:line="240" w:lineRule="auto"/>
        <w:rPr>
          <w:rFonts w:ascii="Times New Roman" w:hAnsi="Times New Roman"/>
          <w:szCs w:val="20"/>
        </w:rPr>
      </w:pPr>
      <w:r w:rsidRPr="007C5D75">
        <w:rPr>
          <w:rFonts w:ascii="Times New Roman" w:hAnsi="Times New Roman"/>
          <w:szCs w:val="20"/>
        </w:rPr>
        <w:t>as the guiding force in any surrogate decision made by the guardian, the</w:t>
      </w:r>
    </w:p>
    <w:p w:rsidR="004A0476" w:rsidRPr="007C5D75" w:rsidRDefault="004A0476" w:rsidP="00BC6CC9">
      <w:pPr>
        <w:autoSpaceDE w:val="0"/>
        <w:autoSpaceDN w:val="0"/>
        <w:adjustRightInd w:val="0"/>
        <w:spacing w:line="240" w:lineRule="auto"/>
        <w:rPr>
          <w:rFonts w:ascii="Times New Roman" w:hAnsi="Times New Roman"/>
          <w:szCs w:val="20"/>
        </w:rPr>
      </w:pPr>
      <w:proofErr w:type="gramStart"/>
      <w:r w:rsidRPr="007C5D75">
        <w:rPr>
          <w:rFonts w:ascii="Times New Roman" w:hAnsi="Times New Roman"/>
          <w:szCs w:val="20"/>
        </w:rPr>
        <w:t>decision</w:t>
      </w:r>
      <w:proofErr w:type="gramEnd"/>
      <w:r w:rsidRPr="007C5D75">
        <w:rPr>
          <w:rFonts w:ascii="Times New Roman" w:hAnsi="Times New Roman"/>
          <w:szCs w:val="20"/>
        </w:rPr>
        <w:t xml:space="preserve"> the ward would have made when competent.</w:t>
      </w:r>
    </w:p>
    <w:p w:rsidR="004A0476" w:rsidRPr="007C5D75" w:rsidRDefault="004A0476" w:rsidP="00BC6CC9">
      <w:pPr>
        <w:autoSpaceDE w:val="0"/>
        <w:autoSpaceDN w:val="0"/>
        <w:adjustRightInd w:val="0"/>
        <w:spacing w:line="240" w:lineRule="auto"/>
        <w:rPr>
          <w:rFonts w:ascii="Times New Roman" w:hAnsi="Times New Roman"/>
          <w:szCs w:val="20"/>
        </w:rPr>
      </w:pPr>
      <w:r w:rsidRPr="007C5D75">
        <w:rPr>
          <w:rFonts w:ascii="Times New Roman" w:hAnsi="Times New Roman"/>
          <w:szCs w:val="20"/>
        </w:rPr>
        <w:t>B. Substituted Judgment promotes the underlying values of self-determination</w:t>
      </w:r>
    </w:p>
    <w:p w:rsidR="004A0476" w:rsidRPr="007C5D75" w:rsidRDefault="004A0476" w:rsidP="00BC6CC9">
      <w:pPr>
        <w:autoSpaceDE w:val="0"/>
        <w:autoSpaceDN w:val="0"/>
        <w:adjustRightInd w:val="0"/>
        <w:spacing w:line="240" w:lineRule="auto"/>
        <w:rPr>
          <w:rFonts w:ascii="Times New Roman" w:hAnsi="Times New Roman"/>
          <w:szCs w:val="20"/>
        </w:rPr>
      </w:pPr>
      <w:proofErr w:type="gramStart"/>
      <w:r w:rsidRPr="007C5D75">
        <w:rPr>
          <w:rFonts w:ascii="Times New Roman" w:hAnsi="Times New Roman"/>
          <w:szCs w:val="20"/>
        </w:rPr>
        <w:t>and</w:t>
      </w:r>
      <w:proofErr w:type="gramEnd"/>
      <w:r w:rsidRPr="007C5D75">
        <w:rPr>
          <w:rFonts w:ascii="Times New Roman" w:hAnsi="Times New Roman"/>
          <w:szCs w:val="20"/>
        </w:rPr>
        <w:t xml:space="preserve"> well-being of the ward.</w:t>
      </w:r>
    </w:p>
    <w:p w:rsidR="004A0476" w:rsidRPr="007C5D75" w:rsidRDefault="004A0476" w:rsidP="00BC6CC9">
      <w:pPr>
        <w:autoSpaceDE w:val="0"/>
        <w:autoSpaceDN w:val="0"/>
        <w:adjustRightInd w:val="0"/>
        <w:spacing w:line="240" w:lineRule="auto"/>
        <w:rPr>
          <w:rFonts w:ascii="Times New Roman" w:hAnsi="Times New Roman"/>
          <w:szCs w:val="20"/>
        </w:rPr>
      </w:pPr>
      <w:r w:rsidRPr="007C5D75">
        <w:rPr>
          <w:rFonts w:ascii="Times New Roman" w:hAnsi="Times New Roman"/>
          <w:szCs w:val="20"/>
        </w:rPr>
        <w:t>C. Substituted Judgment is not used when following the ward’s wishes would</w:t>
      </w:r>
    </w:p>
    <w:p w:rsidR="004A0476" w:rsidRPr="007C5D75" w:rsidRDefault="004A0476" w:rsidP="00BC6CC9">
      <w:pPr>
        <w:autoSpaceDE w:val="0"/>
        <w:autoSpaceDN w:val="0"/>
        <w:adjustRightInd w:val="0"/>
        <w:spacing w:line="240" w:lineRule="auto"/>
        <w:rPr>
          <w:rFonts w:ascii="Times New Roman" w:hAnsi="Times New Roman"/>
          <w:szCs w:val="20"/>
        </w:rPr>
      </w:pPr>
      <w:r w:rsidRPr="007C5D75">
        <w:rPr>
          <w:rFonts w:ascii="Times New Roman" w:hAnsi="Times New Roman"/>
          <w:szCs w:val="20"/>
        </w:rPr>
        <w:t>cause substantial harm to the ward or when the guardian cannot establish</w:t>
      </w:r>
    </w:p>
    <w:p w:rsidR="004A0476" w:rsidRPr="007C5D75" w:rsidRDefault="004A0476" w:rsidP="00BC6CC9">
      <w:pPr>
        <w:autoSpaceDE w:val="0"/>
        <w:autoSpaceDN w:val="0"/>
        <w:adjustRightInd w:val="0"/>
        <w:spacing w:line="240" w:lineRule="auto"/>
        <w:rPr>
          <w:rFonts w:ascii="Times New Roman" w:hAnsi="Times New Roman"/>
          <w:szCs w:val="20"/>
        </w:rPr>
      </w:pPr>
      <w:proofErr w:type="gramStart"/>
      <w:r w:rsidRPr="007C5D75">
        <w:rPr>
          <w:rFonts w:ascii="Times New Roman" w:hAnsi="Times New Roman"/>
          <w:szCs w:val="20"/>
        </w:rPr>
        <w:t>the</w:t>
      </w:r>
      <w:proofErr w:type="gramEnd"/>
      <w:r w:rsidRPr="007C5D75">
        <w:rPr>
          <w:rFonts w:ascii="Times New Roman" w:hAnsi="Times New Roman"/>
          <w:szCs w:val="20"/>
        </w:rPr>
        <w:t xml:space="preserve"> ward’s prior wishes.</w:t>
      </w:r>
    </w:p>
    <w:p w:rsidR="004A0476" w:rsidRDefault="004A047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476" w:rsidRDefault="004A0476">
    <w:pPr>
      <w:pStyle w:val="Header"/>
    </w:pPr>
    <w:r>
      <w:rPr>
        <w:noProof/>
        <w:szCs w:val="20"/>
      </w:rPr>
      <w:drawing>
        <wp:anchor distT="0" distB="0" distL="114300" distR="114300" simplePos="0" relativeHeight="251659776" behindDoc="0" locked="0" layoutInCell="1" allowOverlap="1" wp14:anchorId="763D6F65" wp14:editId="2DE767A9">
          <wp:simplePos x="0" y="0"/>
          <wp:positionH relativeFrom="page">
            <wp:posOffset>621665</wp:posOffset>
          </wp:positionH>
          <wp:positionV relativeFrom="page">
            <wp:posOffset>567055</wp:posOffset>
          </wp:positionV>
          <wp:extent cx="1577975" cy="1132840"/>
          <wp:effectExtent l="19050" t="0" r="3175" b="0"/>
          <wp:wrapNone/>
          <wp:docPr id="7" name="Picture 18" descr="The Arc Logo &amp; Descripto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Arc Logo &amp; Descriptor for Word"/>
                  <pic:cNvPicPr>
                    <a:picLocks noChangeAspect="1" noChangeArrowheads="1"/>
                  </pic:cNvPicPr>
                </pic:nvPicPr>
                <pic:blipFill>
                  <a:blip r:embed="rId1"/>
                  <a:srcRect/>
                  <a:stretch>
                    <a:fillRect/>
                  </a:stretch>
                </pic:blipFill>
                <pic:spPr bwMode="auto">
                  <a:xfrm>
                    <a:off x="0" y="0"/>
                    <a:ext cx="1577975" cy="1132840"/>
                  </a:xfrm>
                  <a:prstGeom prst="rect">
                    <a:avLst/>
                  </a:prstGeom>
                  <a:noFill/>
                  <a:ln w="9525">
                    <a:noFill/>
                    <a:miter lim="800000"/>
                    <a:headEnd/>
                    <a:tailEnd/>
                  </a:ln>
                </pic:spPr>
              </pic:pic>
            </a:graphicData>
          </a:graphic>
        </wp:anchor>
      </w:drawing>
    </w:r>
    <w:r>
      <w:rPr>
        <w:szCs w:val="20"/>
      </w:rPr>
      <w:pict>
        <v:shapetype id="_x0000_t202" coordsize="21600,21600" o:spt="202" path="m,l,21600r21600,l21600,xe">
          <v:stroke joinstyle="miter"/>
          <v:path gradientshapeok="t" o:connecttype="rect"/>
        </v:shapetype>
        <v:shape id="_x0000_s2050" type="#_x0000_t202" style="position:absolute;margin-left:468pt;margin-top:42.05pt;width:126pt;height:90pt;z-index:251657728;mso-position-horizontal-relative:page;mso-position-vertical-relative:page" filled="f" stroked="f">
          <v:textbox style="mso-next-textbox:#_x0000_s2050" inset="0,0,0,0">
            <w:txbxContent>
              <w:p w:rsidR="004A0476" w:rsidRPr="00F1289E" w:rsidRDefault="004A0476" w:rsidP="00A21C29">
                <w:pPr>
                  <w:tabs>
                    <w:tab w:val="left" w:pos="144"/>
                  </w:tabs>
                  <w:spacing w:line="200" w:lineRule="exact"/>
                  <w:rPr>
                    <w:rFonts w:ascii="Trebuchet MS" w:hAnsi="Trebuchet MS"/>
                    <w:color w:val="EA7125"/>
                    <w:sz w:val="14"/>
                  </w:rPr>
                </w:pPr>
                <w:r w:rsidRPr="00F1289E">
                  <w:rPr>
                    <w:rFonts w:ascii="Trebuchet MS" w:hAnsi="Trebuchet MS"/>
                    <w:color w:val="EA7125"/>
                    <w:sz w:val="14"/>
                  </w:rPr>
                  <w:t>The Arc</w:t>
                </w:r>
              </w:p>
              <w:p w:rsidR="004A0476" w:rsidRPr="00F1289E" w:rsidRDefault="004A0476" w:rsidP="00A21C29">
                <w:pPr>
                  <w:tabs>
                    <w:tab w:val="left" w:pos="144"/>
                  </w:tabs>
                  <w:spacing w:line="200" w:lineRule="exact"/>
                  <w:rPr>
                    <w:rFonts w:ascii="Trebuchet MS" w:hAnsi="Trebuchet MS"/>
                    <w:sz w:val="14"/>
                  </w:rPr>
                </w:pPr>
                <w:r>
                  <w:rPr>
                    <w:rFonts w:ascii="Trebuchet MS" w:hAnsi="Trebuchet MS"/>
                    <w:sz w:val="14"/>
                  </w:rPr>
                  <w:t>1825 K</w:t>
                </w:r>
                <w:r w:rsidRPr="00F1289E">
                  <w:rPr>
                    <w:rFonts w:ascii="Trebuchet MS" w:hAnsi="Trebuchet MS"/>
                    <w:sz w:val="14"/>
                  </w:rPr>
                  <w:t xml:space="preserve"> Street NW, Suite </w:t>
                </w:r>
                <w:r>
                  <w:rPr>
                    <w:rFonts w:ascii="Trebuchet MS" w:hAnsi="Trebuchet MS"/>
                    <w:sz w:val="14"/>
                  </w:rPr>
                  <w:t>1200</w:t>
                </w:r>
              </w:p>
              <w:p w:rsidR="004A0476" w:rsidRPr="00F1289E" w:rsidRDefault="004A0476" w:rsidP="00A21C29">
                <w:pPr>
                  <w:tabs>
                    <w:tab w:val="left" w:pos="144"/>
                  </w:tabs>
                  <w:spacing w:line="200" w:lineRule="exact"/>
                  <w:rPr>
                    <w:rFonts w:ascii="Trebuchet MS" w:hAnsi="Trebuchet MS"/>
                    <w:sz w:val="14"/>
                  </w:rPr>
                </w:pPr>
                <w:r>
                  <w:rPr>
                    <w:rFonts w:ascii="Trebuchet MS" w:hAnsi="Trebuchet MS"/>
                    <w:sz w:val="14"/>
                  </w:rPr>
                  <w:t>Washington, DC 2000</w:t>
                </w:r>
                <w:r w:rsidRPr="00F1289E">
                  <w:rPr>
                    <w:rFonts w:ascii="Trebuchet MS" w:hAnsi="Trebuchet MS"/>
                    <w:sz w:val="14"/>
                  </w:rPr>
                  <w:t>6</w:t>
                </w:r>
              </w:p>
              <w:p w:rsidR="004A0476" w:rsidRPr="00F1289E" w:rsidRDefault="004A0476" w:rsidP="00A21C29">
                <w:pPr>
                  <w:tabs>
                    <w:tab w:val="left" w:pos="144"/>
                  </w:tabs>
                  <w:spacing w:line="200" w:lineRule="exact"/>
                  <w:rPr>
                    <w:rFonts w:ascii="Trebuchet MS" w:hAnsi="Trebuchet MS"/>
                    <w:sz w:val="14"/>
                  </w:rPr>
                </w:pPr>
              </w:p>
              <w:p w:rsidR="004A0476" w:rsidRPr="00F1289E" w:rsidRDefault="004A0476" w:rsidP="00A21C29">
                <w:pPr>
                  <w:tabs>
                    <w:tab w:val="left" w:pos="144"/>
                  </w:tabs>
                  <w:spacing w:line="200" w:lineRule="exact"/>
                  <w:rPr>
                    <w:rFonts w:ascii="Trebuchet MS" w:hAnsi="Trebuchet MS"/>
                    <w:sz w:val="14"/>
                  </w:rPr>
                </w:pPr>
                <w:r w:rsidRPr="00F1289E">
                  <w:rPr>
                    <w:rFonts w:ascii="Trebuchet MS" w:hAnsi="Trebuchet MS"/>
                    <w:color w:val="EA7125"/>
                    <w:sz w:val="14"/>
                  </w:rPr>
                  <w:t>T</w:t>
                </w:r>
                <w:r w:rsidRPr="00F1289E">
                  <w:rPr>
                    <w:rFonts w:ascii="Trebuchet MS" w:hAnsi="Trebuchet MS"/>
                    <w:sz w:val="14"/>
                  </w:rPr>
                  <w:tab/>
                  <w:t>202 534-3700</w:t>
                </w:r>
              </w:p>
              <w:p w:rsidR="004A0476" w:rsidRPr="00F1289E" w:rsidRDefault="004A0476" w:rsidP="00A21C29">
                <w:pPr>
                  <w:tabs>
                    <w:tab w:val="left" w:pos="144"/>
                  </w:tabs>
                  <w:spacing w:line="200" w:lineRule="exact"/>
                  <w:rPr>
                    <w:rFonts w:ascii="Trebuchet MS" w:hAnsi="Trebuchet MS"/>
                    <w:sz w:val="14"/>
                  </w:rPr>
                </w:pPr>
                <w:r w:rsidRPr="00F1289E">
                  <w:rPr>
                    <w:rFonts w:ascii="Trebuchet MS" w:hAnsi="Trebuchet MS"/>
                    <w:color w:val="EA7125"/>
                    <w:sz w:val="14"/>
                  </w:rPr>
                  <w:t>F</w:t>
                </w:r>
                <w:r w:rsidRPr="00F1289E">
                  <w:rPr>
                    <w:rFonts w:ascii="Trebuchet MS" w:hAnsi="Trebuchet MS"/>
                    <w:sz w:val="14"/>
                  </w:rPr>
                  <w:tab/>
                  <w:t>202 534-3731</w:t>
                </w:r>
              </w:p>
              <w:p w:rsidR="004A0476" w:rsidRPr="00F1289E" w:rsidRDefault="004A0476" w:rsidP="00A21C29">
                <w:pPr>
                  <w:tabs>
                    <w:tab w:val="left" w:pos="144"/>
                  </w:tabs>
                  <w:spacing w:line="200" w:lineRule="exact"/>
                  <w:rPr>
                    <w:rFonts w:ascii="Trebuchet MS" w:hAnsi="Trebuchet MS"/>
                    <w:sz w:val="14"/>
                  </w:rPr>
                </w:pPr>
                <w:r w:rsidRPr="00F1289E">
                  <w:rPr>
                    <w:rFonts w:ascii="Trebuchet MS" w:hAnsi="Trebuchet MS"/>
                    <w:sz w:val="14"/>
                  </w:rPr>
                  <w:t>www.thearc.org</w:t>
                </w:r>
              </w:p>
              <w:p w:rsidR="004A0476" w:rsidRPr="00A21C29" w:rsidRDefault="004A0476" w:rsidP="00A21C29"/>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E42"/>
    <w:multiLevelType w:val="hybridMultilevel"/>
    <w:tmpl w:val="7AB63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B1742"/>
    <w:multiLevelType w:val="hybridMultilevel"/>
    <w:tmpl w:val="F6220366"/>
    <w:lvl w:ilvl="0" w:tplc="201AD3A8">
      <w:start w:val="1"/>
      <w:numFmt w:val="bullet"/>
      <w:lvlText w:val=""/>
      <w:lvlJc w:val="left"/>
      <w:pPr>
        <w:tabs>
          <w:tab w:val="num" w:pos="420"/>
        </w:tabs>
        <w:ind w:left="420" w:hanging="288"/>
      </w:pPr>
      <w:rPr>
        <w:rFonts w:ascii="Wingdings" w:hAnsi="Wingdings" w:hint="default"/>
        <w:b w:val="0"/>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D827996"/>
    <w:multiLevelType w:val="hybridMultilevel"/>
    <w:tmpl w:val="18F60D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286BA4">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C742EE"/>
    <w:multiLevelType w:val="multilevel"/>
    <w:tmpl w:val="AD0E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8088F"/>
    <w:multiLevelType w:val="hybridMultilevel"/>
    <w:tmpl w:val="009828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286BA4">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A77706"/>
    <w:multiLevelType w:val="multilevel"/>
    <w:tmpl w:val="D23E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09559D"/>
    <w:multiLevelType w:val="multilevel"/>
    <w:tmpl w:val="6E0A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42AF3"/>
    <w:multiLevelType w:val="hybridMultilevel"/>
    <w:tmpl w:val="E63E5CD6"/>
    <w:lvl w:ilvl="0" w:tplc="201AD3A8">
      <w:start w:val="1"/>
      <w:numFmt w:val="bullet"/>
      <w:lvlText w:val=""/>
      <w:lvlJc w:val="left"/>
      <w:pPr>
        <w:tabs>
          <w:tab w:val="num" w:pos="288"/>
        </w:tabs>
        <w:ind w:left="288" w:hanging="288"/>
      </w:pPr>
      <w:rPr>
        <w:rFonts w:ascii="Wingdings" w:hAnsi="Wingdings" w:hint="default"/>
        <w:b w:val="0"/>
        <w:i w:val="0"/>
        <w:sz w:val="28"/>
        <w:szCs w:val="2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4D0630F0"/>
    <w:multiLevelType w:val="multilevel"/>
    <w:tmpl w:val="6B90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2D343A"/>
    <w:multiLevelType w:val="multilevel"/>
    <w:tmpl w:val="982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4A299F"/>
    <w:multiLevelType w:val="hybridMultilevel"/>
    <w:tmpl w:val="A6F69A5A"/>
    <w:lvl w:ilvl="0" w:tplc="E0022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F077F7"/>
    <w:multiLevelType w:val="hybridMultilevel"/>
    <w:tmpl w:val="FCB4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51AFF"/>
    <w:multiLevelType w:val="multilevel"/>
    <w:tmpl w:val="A54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8"/>
  </w:num>
  <w:num w:numId="6">
    <w:abstractNumId w:val="9"/>
  </w:num>
  <w:num w:numId="7">
    <w:abstractNumId w:val="6"/>
  </w:num>
  <w:num w:numId="8">
    <w:abstractNumId w:val="12"/>
  </w:num>
  <w:num w:numId="9">
    <w:abstractNumId w:val="5"/>
  </w:num>
  <w:num w:numId="10">
    <w:abstractNumId w:val="3"/>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721D"/>
    <w:rsid w:val="00020B31"/>
    <w:rsid w:val="00026274"/>
    <w:rsid w:val="00027453"/>
    <w:rsid w:val="0005693C"/>
    <w:rsid w:val="00097217"/>
    <w:rsid w:val="000A2AD4"/>
    <w:rsid w:val="000A5505"/>
    <w:rsid w:val="000B4FBB"/>
    <w:rsid w:val="000B5C95"/>
    <w:rsid w:val="000D6C43"/>
    <w:rsid w:val="001112F0"/>
    <w:rsid w:val="00112FF2"/>
    <w:rsid w:val="001163A3"/>
    <w:rsid w:val="00150E45"/>
    <w:rsid w:val="00156AE6"/>
    <w:rsid w:val="00186B0C"/>
    <w:rsid w:val="00196114"/>
    <w:rsid w:val="00196641"/>
    <w:rsid w:val="001D6548"/>
    <w:rsid w:val="001F19F2"/>
    <w:rsid w:val="00215B11"/>
    <w:rsid w:val="002503A6"/>
    <w:rsid w:val="002723E9"/>
    <w:rsid w:val="00275ED4"/>
    <w:rsid w:val="00291FE5"/>
    <w:rsid w:val="002A7FE5"/>
    <w:rsid w:val="002C6125"/>
    <w:rsid w:val="002D78D6"/>
    <w:rsid w:val="002F2F3F"/>
    <w:rsid w:val="00302FFA"/>
    <w:rsid w:val="00307789"/>
    <w:rsid w:val="00316C81"/>
    <w:rsid w:val="00362AEF"/>
    <w:rsid w:val="00385BD7"/>
    <w:rsid w:val="003B7311"/>
    <w:rsid w:val="003E0EC7"/>
    <w:rsid w:val="003E42DE"/>
    <w:rsid w:val="003F3B57"/>
    <w:rsid w:val="0043721D"/>
    <w:rsid w:val="00443DEC"/>
    <w:rsid w:val="0044414F"/>
    <w:rsid w:val="00465792"/>
    <w:rsid w:val="004758E0"/>
    <w:rsid w:val="00480DE9"/>
    <w:rsid w:val="004863F6"/>
    <w:rsid w:val="00490D28"/>
    <w:rsid w:val="004915BD"/>
    <w:rsid w:val="004A0476"/>
    <w:rsid w:val="004A6A1A"/>
    <w:rsid w:val="004D00A4"/>
    <w:rsid w:val="004D2BFE"/>
    <w:rsid w:val="004D7EC8"/>
    <w:rsid w:val="00503E4E"/>
    <w:rsid w:val="00513FAC"/>
    <w:rsid w:val="00535BF5"/>
    <w:rsid w:val="00563A6F"/>
    <w:rsid w:val="0057169C"/>
    <w:rsid w:val="005843C9"/>
    <w:rsid w:val="0058504D"/>
    <w:rsid w:val="00593D57"/>
    <w:rsid w:val="005C5EA7"/>
    <w:rsid w:val="005E6D55"/>
    <w:rsid w:val="0061558C"/>
    <w:rsid w:val="006209BE"/>
    <w:rsid w:val="00636D91"/>
    <w:rsid w:val="006403AD"/>
    <w:rsid w:val="00645FA1"/>
    <w:rsid w:val="00667435"/>
    <w:rsid w:val="00673B8C"/>
    <w:rsid w:val="006A2C19"/>
    <w:rsid w:val="006A4F24"/>
    <w:rsid w:val="006B01D9"/>
    <w:rsid w:val="0074039E"/>
    <w:rsid w:val="00740AAA"/>
    <w:rsid w:val="00750004"/>
    <w:rsid w:val="00764009"/>
    <w:rsid w:val="007640EA"/>
    <w:rsid w:val="00776EEB"/>
    <w:rsid w:val="0077774E"/>
    <w:rsid w:val="00792A9F"/>
    <w:rsid w:val="007C5D75"/>
    <w:rsid w:val="007D150B"/>
    <w:rsid w:val="007D223D"/>
    <w:rsid w:val="007E751A"/>
    <w:rsid w:val="008174A4"/>
    <w:rsid w:val="00885C56"/>
    <w:rsid w:val="00897EB8"/>
    <w:rsid w:val="008C1914"/>
    <w:rsid w:val="008C44FF"/>
    <w:rsid w:val="008C4E51"/>
    <w:rsid w:val="008D3EBC"/>
    <w:rsid w:val="008D56A8"/>
    <w:rsid w:val="008E4C99"/>
    <w:rsid w:val="00902680"/>
    <w:rsid w:val="00906920"/>
    <w:rsid w:val="00944C40"/>
    <w:rsid w:val="00961FD5"/>
    <w:rsid w:val="00976959"/>
    <w:rsid w:val="0097712C"/>
    <w:rsid w:val="009A42D9"/>
    <w:rsid w:val="009C313D"/>
    <w:rsid w:val="009C31E0"/>
    <w:rsid w:val="009C3F73"/>
    <w:rsid w:val="009E2B74"/>
    <w:rsid w:val="00A06456"/>
    <w:rsid w:val="00A21925"/>
    <w:rsid w:val="00A21C29"/>
    <w:rsid w:val="00A32340"/>
    <w:rsid w:val="00A74FF8"/>
    <w:rsid w:val="00A8582B"/>
    <w:rsid w:val="00A87C4F"/>
    <w:rsid w:val="00A94B28"/>
    <w:rsid w:val="00AA0406"/>
    <w:rsid w:val="00AB63A5"/>
    <w:rsid w:val="00AB6B3D"/>
    <w:rsid w:val="00AF17FB"/>
    <w:rsid w:val="00B270D4"/>
    <w:rsid w:val="00B824F9"/>
    <w:rsid w:val="00B93052"/>
    <w:rsid w:val="00BA3BA4"/>
    <w:rsid w:val="00BC0B27"/>
    <w:rsid w:val="00BC61D7"/>
    <w:rsid w:val="00BC6CC9"/>
    <w:rsid w:val="00BD0B2D"/>
    <w:rsid w:val="00C14E97"/>
    <w:rsid w:val="00C308F4"/>
    <w:rsid w:val="00C76AC0"/>
    <w:rsid w:val="00CB7A5C"/>
    <w:rsid w:val="00CC1C63"/>
    <w:rsid w:val="00CC7E61"/>
    <w:rsid w:val="00CF7B56"/>
    <w:rsid w:val="00CF7BD0"/>
    <w:rsid w:val="00D01D25"/>
    <w:rsid w:val="00D52A02"/>
    <w:rsid w:val="00E12ED0"/>
    <w:rsid w:val="00E212D1"/>
    <w:rsid w:val="00E411B7"/>
    <w:rsid w:val="00E531AE"/>
    <w:rsid w:val="00E63BBC"/>
    <w:rsid w:val="00E723A2"/>
    <w:rsid w:val="00E8184B"/>
    <w:rsid w:val="00EC53A3"/>
    <w:rsid w:val="00F0032A"/>
    <w:rsid w:val="00F269F7"/>
    <w:rsid w:val="00F43DFB"/>
    <w:rsid w:val="00FA321E"/>
    <w:rsid w:val="00FB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6D"/>
    <w:pPr>
      <w:spacing w:line="29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89E"/>
  </w:style>
  <w:style w:type="paragraph" w:styleId="Footer">
    <w:name w:val="footer"/>
    <w:basedOn w:val="Normal"/>
    <w:link w:val="FooterChar"/>
    <w:uiPriority w:val="99"/>
    <w:rsid w:val="00F1289E"/>
  </w:style>
  <w:style w:type="character" w:styleId="Hyperlink">
    <w:name w:val="Hyperlink"/>
    <w:uiPriority w:val="99"/>
    <w:rsid w:val="00F1289E"/>
    <w:rPr>
      <w:color w:val="auto"/>
      <w:u w:val="none"/>
    </w:rPr>
  </w:style>
  <w:style w:type="character" w:styleId="FollowedHyperlink">
    <w:name w:val="FollowedHyperlink"/>
    <w:rsid w:val="00F1289E"/>
    <w:rPr>
      <w:color w:val="auto"/>
      <w:u w:val="none"/>
    </w:rPr>
  </w:style>
  <w:style w:type="paragraph" w:styleId="ListParagraph">
    <w:name w:val="List Paragraph"/>
    <w:basedOn w:val="Normal"/>
    <w:uiPriority w:val="34"/>
    <w:qFormat/>
    <w:rsid w:val="00740AAA"/>
    <w:pPr>
      <w:spacing w:line="240" w:lineRule="auto"/>
      <w:ind w:left="720"/>
      <w:contextualSpacing/>
    </w:pPr>
    <w:rPr>
      <w:rFonts w:ascii="Times New Roman" w:hAnsi="Times New Roman"/>
      <w:sz w:val="24"/>
    </w:rPr>
  </w:style>
  <w:style w:type="character" w:customStyle="1" w:styleId="HeaderChar">
    <w:name w:val="Header Char"/>
    <w:basedOn w:val="DefaultParagraphFont"/>
    <w:link w:val="Header"/>
    <w:uiPriority w:val="99"/>
    <w:rsid w:val="00740AAA"/>
    <w:rPr>
      <w:rFonts w:ascii="Arial" w:hAnsi="Arial"/>
      <w:szCs w:val="24"/>
    </w:rPr>
  </w:style>
  <w:style w:type="character" w:customStyle="1" w:styleId="FooterChar">
    <w:name w:val="Footer Char"/>
    <w:basedOn w:val="DefaultParagraphFont"/>
    <w:link w:val="Footer"/>
    <w:uiPriority w:val="99"/>
    <w:rsid w:val="00740AAA"/>
    <w:rPr>
      <w:rFonts w:ascii="Arial" w:hAnsi="Arial"/>
      <w:szCs w:val="24"/>
    </w:rPr>
  </w:style>
  <w:style w:type="paragraph" w:styleId="BalloonText">
    <w:name w:val="Balloon Text"/>
    <w:basedOn w:val="Normal"/>
    <w:link w:val="BalloonTextChar"/>
    <w:uiPriority w:val="99"/>
    <w:semiHidden/>
    <w:unhideWhenUsed/>
    <w:rsid w:val="00BC0B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B27"/>
    <w:rPr>
      <w:rFonts w:ascii="Tahoma" w:hAnsi="Tahoma" w:cs="Tahoma"/>
      <w:sz w:val="16"/>
      <w:szCs w:val="16"/>
    </w:rPr>
  </w:style>
  <w:style w:type="paragraph" w:styleId="FootnoteText">
    <w:name w:val="footnote text"/>
    <w:basedOn w:val="Normal"/>
    <w:link w:val="FootnoteTextChar"/>
    <w:uiPriority w:val="99"/>
    <w:semiHidden/>
    <w:unhideWhenUsed/>
    <w:rsid w:val="00645FA1"/>
    <w:pPr>
      <w:spacing w:line="240" w:lineRule="auto"/>
    </w:pPr>
    <w:rPr>
      <w:szCs w:val="20"/>
    </w:rPr>
  </w:style>
  <w:style w:type="character" w:customStyle="1" w:styleId="FootnoteTextChar">
    <w:name w:val="Footnote Text Char"/>
    <w:basedOn w:val="DefaultParagraphFont"/>
    <w:link w:val="FootnoteText"/>
    <w:uiPriority w:val="99"/>
    <w:semiHidden/>
    <w:rsid w:val="00645FA1"/>
    <w:rPr>
      <w:rFonts w:ascii="Arial" w:hAnsi="Arial"/>
    </w:rPr>
  </w:style>
  <w:style w:type="character" w:styleId="FootnoteReference">
    <w:name w:val="footnote reference"/>
    <w:basedOn w:val="DefaultParagraphFont"/>
    <w:uiPriority w:val="99"/>
    <w:semiHidden/>
    <w:unhideWhenUsed/>
    <w:rsid w:val="00645FA1"/>
    <w:rPr>
      <w:vertAlign w:val="superscript"/>
    </w:rPr>
  </w:style>
  <w:style w:type="character" w:customStyle="1" w:styleId="apple-style-span">
    <w:name w:val="apple-style-span"/>
    <w:basedOn w:val="DefaultParagraphFont"/>
    <w:rsid w:val="000D6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8587">
      <w:bodyDiv w:val="1"/>
      <w:marLeft w:val="0"/>
      <w:marRight w:val="0"/>
      <w:marTop w:val="0"/>
      <w:marBottom w:val="0"/>
      <w:divBdr>
        <w:top w:val="none" w:sz="0" w:space="0" w:color="auto"/>
        <w:left w:val="none" w:sz="0" w:space="0" w:color="auto"/>
        <w:bottom w:val="none" w:sz="0" w:space="0" w:color="auto"/>
        <w:right w:val="none" w:sz="0" w:space="0" w:color="auto"/>
      </w:divBdr>
    </w:div>
    <w:div w:id="20125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guardianship.org/documents/Standards_of_Prac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jsutcliffe\Application%20Data\Microsoft\Templates\The%20Arc%20Letterhead%20K%20Str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F315-4887-42B3-81FE-0084ECE2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Arc Letterhead K Street</Template>
  <TotalTime>309</TotalTime>
  <Pages>6</Pages>
  <Words>2017</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Arc eLetterhead</vt:lpstr>
    </vt:vector>
  </TitlesOfParts>
  <Company>The Arc</Company>
  <LinksUpToDate>false</LinksUpToDate>
  <CharactersWithSpaces>14017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 eLetterhead</dc:title>
  <dc:subject/>
  <dc:creator> </dc:creator>
  <cp:keywords/>
  <cp:lastModifiedBy>Maureen Fitzgerald</cp:lastModifiedBy>
  <cp:revision>11</cp:revision>
  <cp:lastPrinted>2012-06-26T20:42:00Z</cp:lastPrinted>
  <dcterms:created xsi:type="dcterms:W3CDTF">2012-06-28T14:23:00Z</dcterms:created>
  <dcterms:modified xsi:type="dcterms:W3CDTF">2012-06-29T21:49:00Z</dcterms:modified>
</cp:coreProperties>
</file>