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D0" w:rsidRDefault="00A25DD0" w:rsidP="00A25DD0">
      <w:pPr>
        <w:jc w:val="center"/>
        <w:rPr>
          <w:b/>
          <w:sz w:val="28"/>
          <w:szCs w:val="28"/>
        </w:rPr>
      </w:pPr>
      <w:r w:rsidRPr="00A25DD0">
        <w:rPr>
          <w:b/>
          <w:sz w:val="28"/>
          <w:szCs w:val="28"/>
        </w:rPr>
        <w:t>Key Provisions for People with Disabilities in Tax Bills</w:t>
      </w:r>
    </w:p>
    <w:p w:rsidR="0070309C" w:rsidRPr="0070309C" w:rsidRDefault="0070309C" w:rsidP="00A25DD0">
      <w:pPr>
        <w:jc w:val="center"/>
        <w:rPr>
          <w:b/>
        </w:rPr>
      </w:pPr>
      <w:r w:rsidRPr="0070309C">
        <w:rPr>
          <w:b/>
        </w:rPr>
        <w:t xml:space="preserve">As </w:t>
      </w:r>
      <w:r w:rsidR="003E7F63">
        <w:rPr>
          <w:b/>
        </w:rPr>
        <w:t>of 11/20</w:t>
      </w:r>
      <w:r w:rsidRPr="0070309C">
        <w:rPr>
          <w:b/>
        </w:rPr>
        <w:t>/17</w:t>
      </w:r>
    </w:p>
    <w:tbl>
      <w:tblPr>
        <w:tblStyle w:val="TableGrid"/>
        <w:tblW w:w="13585" w:type="dxa"/>
        <w:tblLook w:val="04A0" w:firstRow="1" w:lastRow="0" w:firstColumn="1" w:lastColumn="0" w:noHBand="0" w:noVBand="1"/>
      </w:tblPr>
      <w:tblGrid>
        <w:gridCol w:w="2777"/>
        <w:gridCol w:w="1268"/>
        <w:gridCol w:w="4590"/>
        <w:gridCol w:w="4950"/>
      </w:tblGrid>
      <w:tr w:rsidR="0099575D" w:rsidTr="00C17CD5">
        <w:trPr>
          <w:tblHeader/>
        </w:trPr>
        <w:tc>
          <w:tcPr>
            <w:tcW w:w="2777" w:type="dxa"/>
            <w:shd w:val="clear" w:color="auto" w:fill="A6A6A6" w:themeFill="background1" w:themeFillShade="A6"/>
          </w:tcPr>
          <w:p w:rsidR="0099575D" w:rsidRDefault="0099575D" w:rsidP="0099575D"/>
        </w:tc>
        <w:tc>
          <w:tcPr>
            <w:tcW w:w="1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575D" w:rsidRPr="00AF2E5C" w:rsidRDefault="0099575D" w:rsidP="00766EFA">
            <w:pPr>
              <w:jc w:val="center"/>
              <w:rPr>
                <w:rStyle w:val="Hyperlink"/>
                <w:rFonts w:eastAsia="Times New Roman" w:cstheme="minorHAnsi"/>
                <w:color w:val="auto"/>
                <w:sz w:val="24"/>
                <w:szCs w:val="24"/>
              </w:rPr>
            </w:pPr>
            <w:r w:rsidRPr="00AF2E5C">
              <w:rPr>
                <w:rFonts w:eastAsia="Times New Roman" w:cstheme="minorHAnsi"/>
                <w:b/>
                <w:bCs/>
                <w:kern w:val="24"/>
                <w:sz w:val="24"/>
                <w:szCs w:val="24"/>
              </w:rPr>
              <w:fldChar w:fldCharType="begin"/>
            </w:r>
            <w:r w:rsidRPr="00AF2E5C">
              <w:rPr>
                <w:rFonts w:eastAsia="Times New Roman" w:cstheme="minorHAnsi"/>
                <w:b/>
                <w:bCs/>
                <w:kern w:val="24"/>
                <w:sz w:val="24"/>
                <w:szCs w:val="24"/>
              </w:rPr>
              <w:instrText xml:space="preserve"> HYPERLINK "https://c-c-d.org/fichiers/CCD-Principles-and-Recommendations-for-Tax-Reform.pdf" </w:instrText>
            </w:r>
            <w:r w:rsidRPr="00AF2E5C">
              <w:rPr>
                <w:rFonts w:eastAsia="Times New Roman" w:cstheme="minorHAnsi"/>
                <w:b/>
                <w:bCs/>
                <w:kern w:val="24"/>
                <w:sz w:val="24"/>
                <w:szCs w:val="24"/>
              </w:rPr>
              <w:fldChar w:fldCharType="separate"/>
            </w:r>
            <w:r w:rsidRPr="00AF2E5C">
              <w:rPr>
                <w:rStyle w:val="Hyperlink"/>
                <w:rFonts w:eastAsia="Times New Roman" w:cstheme="minorHAnsi"/>
                <w:color w:val="auto"/>
                <w:kern w:val="24"/>
                <w:sz w:val="24"/>
                <w:szCs w:val="24"/>
              </w:rPr>
              <w:t>In CCD Tax</w:t>
            </w:r>
          </w:p>
          <w:p w:rsidR="0099575D" w:rsidRPr="009B13EB" w:rsidRDefault="0099575D" w:rsidP="00766EFA">
            <w:pPr>
              <w:jc w:val="center"/>
              <w:rPr>
                <w:rFonts w:eastAsia="Times New Roman" w:cstheme="minorHAnsi"/>
                <w:sz w:val="24"/>
                <w:szCs w:val="24"/>
              </w:rPr>
            </w:pPr>
            <w:r w:rsidRPr="00AF2E5C">
              <w:rPr>
                <w:rStyle w:val="Hyperlink"/>
                <w:rFonts w:eastAsia="Times New Roman" w:cstheme="minorHAnsi"/>
                <w:color w:val="auto"/>
                <w:kern w:val="24"/>
                <w:sz w:val="24"/>
                <w:szCs w:val="24"/>
              </w:rPr>
              <w:t>Principles?</w:t>
            </w:r>
            <w:r w:rsidRPr="00AF2E5C">
              <w:rPr>
                <w:rFonts w:eastAsia="Times New Roman" w:cstheme="minorHAnsi"/>
                <w:b/>
                <w:bCs/>
                <w:kern w:val="24"/>
                <w:sz w:val="24"/>
                <w:szCs w:val="24"/>
              </w:rPr>
              <w:fldChar w:fldCharType="end"/>
            </w:r>
          </w:p>
        </w:tc>
        <w:tc>
          <w:tcPr>
            <w:tcW w:w="4590" w:type="dxa"/>
            <w:shd w:val="clear" w:color="auto" w:fill="A6A6A6" w:themeFill="background1" w:themeFillShade="A6"/>
          </w:tcPr>
          <w:p w:rsidR="0099575D" w:rsidRDefault="00CF3782" w:rsidP="0099575D">
            <w:r>
              <w:t>House B</w:t>
            </w:r>
            <w:r w:rsidR="0099575D" w:rsidRPr="0099575D">
              <w:t>ill</w:t>
            </w:r>
          </w:p>
        </w:tc>
        <w:tc>
          <w:tcPr>
            <w:tcW w:w="4950" w:type="dxa"/>
            <w:shd w:val="clear" w:color="auto" w:fill="A6A6A6" w:themeFill="background1" w:themeFillShade="A6"/>
          </w:tcPr>
          <w:p w:rsidR="0099575D" w:rsidRDefault="0099575D" w:rsidP="0099575D">
            <w:r w:rsidRPr="0099575D">
              <w:t>Senate Bill</w:t>
            </w:r>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kern w:val="24"/>
              </w:rPr>
            </w:pPr>
            <w:r w:rsidRPr="006D2B2F">
              <w:rPr>
                <w:rFonts w:eastAsia="Times New Roman" w:cstheme="minorHAnsi"/>
                <w:kern w:val="24"/>
              </w:rPr>
              <w:t>Individual Mandate for health insurance</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766EFA" w:rsidP="0099575D">
            <w:pPr>
              <w:jc w:val="center"/>
              <w:rPr>
                <w:rFonts w:eastAsia="Times New Roman" w:cstheme="minorHAnsi"/>
                <w:kern w:val="24"/>
              </w:rPr>
            </w:pPr>
            <w:r w:rsidRPr="006D2B2F">
              <w:rPr>
                <w:rFonts w:eastAsia="Times New Roman" w:cstheme="minorHAnsi"/>
                <w:kern w:val="24"/>
              </w:rPr>
              <w:t>Y (</w:t>
            </w:r>
            <w:r w:rsidR="0099575D" w:rsidRPr="006D2B2F">
              <w:rPr>
                <w:rFonts w:eastAsia="Times New Roman" w:cstheme="minorHAnsi"/>
                <w:kern w:val="24"/>
              </w:rPr>
              <w:t>Implied</w:t>
            </w:r>
            <w:r w:rsidRPr="006D2B2F">
              <w:rPr>
                <w:rFonts w:eastAsia="Times New Roman" w:cstheme="minorHAnsi"/>
                <w:kern w:val="24"/>
              </w:rPr>
              <w:t>)</w:t>
            </w:r>
          </w:p>
        </w:tc>
        <w:tc>
          <w:tcPr>
            <w:tcW w:w="4590" w:type="dxa"/>
          </w:tcPr>
          <w:p w:rsidR="0099575D" w:rsidRPr="006D2B2F" w:rsidRDefault="003E7F63" w:rsidP="0099575D">
            <w:pPr>
              <w:rPr>
                <w:rFonts w:cstheme="minorHAnsi"/>
              </w:rPr>
            </w:pPr>
            <w:r>
              <w:rPr>
                <w:rFonts w:cstheme="minorHAnsi"/>
              </w:rPr>
              <w:t>--</w:t>
            </w:r>
          </w:p>
        </w:tc>
        <w:tc>
          <w:tcPr>
            <w:tcW w:w="4950" w:type="dxa"/>
          </w:tcPr>
          <w:p w:rsidR="0099575D" w:rsidRPr="006D2B2F" w:rsidRDefault="004D6F12" w:rsidP="0099575D">
            <w:pPr>
              <w:rPr>
                <w:rFonts w:cstheme="minorHAnsi"/>
              </w:rPr>
            </w:pPr>
            <w:r w:rsidRPr="004D6F12">
              <w:rPr>
                <w:rFonts w:cstheme="minorHAnsi"/>
                <w:b/>
              </w:rPr>
              <w:t>Repeals</w:t>
            </w:r>
            <w:r w:rsidR="003E7F63">
              <w:rPr>
                <w:rFonts w:cstheme="minorHAnsi"/>
              </w:rPr>
              <w:t>.  CBO estimated savings of $31</w:t>
            </w:r>
            <w:r w:rsidR="00A10830" w:rsidRPr="006D2B2F">
              <w:rPr>
                <w:rFonts w:cstheme="minorHAnsi"/>
              </w:rPr>
              <w:t>8 bill</w:t>
            </w:r>
            <w:r w:rsidR="00463CCE">
              <w:rPr>
                <w:rFonts w:cstheme="minorHAnsi"/>
              </w:rPr>
              <w:t xml:space="preserve">ion over the next 10 years and resulting in </w:t>
            </w:r>
            <w:r w:rsidR="00A10830" w:rsidRPr="006D2B2F">
              <w:rPr>
                <w:rFonts w:cstheme="minorHAnsi"/>
              </w:rPr>
              <w:t>13 million fewer people with health insurance and premium hikes</w:t>
            </w:r>
            <w:r>
              <w:rPr>
                <w:rFonts w:cstheme="minorHAnsi"/>
              </w:rPr>
              <w:t xml:space="preserve"> of 10% in the insurance marketplace</w:t>
            </w:r>
            <w:r w:rsidR="00A10830" w:rsidRPr="006D2B2F">
              <w:rPr>
                <w:rFonts w:cstheme="minorHAnsi"/>
              </w:rPr>
              <w:t>.</w:t>
            </w:r>
            <w:r w:rsidR="001431CA" w:rsidRPr="006D2B2F">
              <w:rPr>
                <w:rFonts w:cstheme="minorHAnsi"/>
              </w:rPr>
              <w:t xml:space="preserve"> </w:t>
            </w:r>
            <w:r w:rsidR="00463CCE">
              <w:rPr>
                <w:rFonts w:cstheme="minorHAnsi"/>
              </w:rPr>
              <w:t>(</w:t>
            </w:r>
            <w:r w:rsidR="001431CA" w:rsidRPr="006D2B2F">
              <w:rPr>
                <w:rFonts w:cstheme="minorHAnsi"/>
              </w:rPr>
              <w:t>The individual mandate and its associated pen</w:t>
            </w:r>
            <w:r>
              <w:rPr>
                <w:rFonts w:cstheme="minorHAnsi"/>
              </w:rPr>
              <w:t>alties increase federal spending</w:t>
            </w:r>
            <w:r w:rsidR="001431CA" w:rsidRPr="006D2B2F">
              <w:rPr>
                <w:rFonts w:cstheme="minorHAnsi"/>
              </w:rPr>
              <w:t xml:space="preserve"> by encouraging people to obtain subsidized coverage—through Medicaid, the health insurance marketplaces established under the ACA, or employment-based plans</w:t>
            </w:r>
            <w:r w:rsidR="00463CCE">
              <w:rPr>
                <w:rFonts w:cstheme="minorHAnsi"/>
              </w:rPr>
              <w:t>)</w:t>
            </w:r>
            <w:r w:rsidR="001431CA" w:rsidRPr="006D2B2F">
              <w:rPr>
                <w:rFonts w:cstheme="minorHAnsi"/>
              </w:rPr>
              <w:t xml:space="preserve">.  See </w:t>
            </w:r>
            <w:hyperlink r:id="rId7" w:history="1">
              <w:r w:rsidR="001431CA" w:rsidRPr="006D2B2F">
                <w:rPr>
                  <w:rStyle w:val="Hyperlink"/>
                  <w:rFonts w:cstheme="minorHAnsi"/>
                </w:rPr>
                <w:t>CBO report</w:t>
              </w:r>
            </w:hyperlink>
            <w:r w:rsidR="001431CA" w:rsidRPr="006D2B2F">
              <w:rPr>
                <w:rFonts w:cstheme="minorHAnsi"/>
              </w:rPr>
              <w:t>.</w:t>
            </w:r>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rPr>
            </w:pPr>
            <w:r w:rsidRPr="006D2B2F">
              <w:rPr>
                <w:rFonts w:eastAsia="Times New Roman" w:cstheme="minorHAnsi"/>
                <w:kern w:val="24"/>
              </w:rPr>
              <w:t>The standard deduction for people who are blind</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jc w:val="center"/>
              <w:rPr>
                <w:rFonts w:eastAsia="Times New Roman" w:cstheme="minorHAnsi"/>
              </w:rPr>
            </w:pPr>
            <w:r w:rsidRPr="006D2B2F">
              <w:rPr>
                <w:rFonts w:eastAsia="Times New Roman" w:cstheme="minorHAnsi"/>
                <w:kern w:val="24"/>
              </w:rPr>
              <w:t>Y</w:t>
            </w:r>
          </w:p>
        </w:tc>
        <w:tc>
          <w:tcPr>
            <w:tcW w:w="4590" w:type="dxa"/>
          </w:tcPr>
          <w:p w:rsidR="0099575D" w:rsidRPr="006D2B2F" w:rsidRDefault="003E7F63" w:rsidP="0099575D">
            <w:pPr>
              <w:rPr>
                <w:rFonts w:cstheme="minorHAnsi"/>
              </w:rPr>
            </w:pPr>
            <w:r>
              <w:rPr>
                <w:rFonts w:cstheme="minorHAnsi"/>
              </w:rPr>
              <w:t>--</w:t>
            </w:r>
          </w:p>
        </w:tc>
        <w:tc>
          <w:tcPr>
            <w:tcW w:w="4950" w:type="dxa"/>
          </w:tcPr>
          <w:p w:rsidR="0099575D" w:rsidRPr="006D2B2F" w:rsidRDefault="003E7F63" w:rsidP="0099575D">
            <w:pPr>
              <w:rPr>
                <w:rFonts w:cstheme="minorHAnsi"/>
              </w:rPr>
            </w:pPr>
            <w:r>
              <w:rPr>
                <w:rFonts w:cstheme="minorHAnsi"/>
              </w:rPr>
              <w:t>--</w:t>
            </w:r>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rPr>
            </w:pPr>
            <w:r w:rsidRPr="006D2B2F">
              <w:rPr>
                <w:rFonts w:eastAsia="Times New Roman" w:cstheme="minorHAnsi"/>
                <w:kern w:val="24"/>
              </w:rPr>
              <w:t>The Architectural and Transportation Barrier Removal Deduction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jc w:val="center"/>
              <w:rPr>
                <w:rFonts w:eastAsia="Times New Roman" w:cstheme="minorHAnsi"/>
              </w:rPr>
            </w:pPr>
            <w:r w:rsidRPr="006D2B2F">
              <w:rPr>
                <w:rFonts w:eastAsia="Times New Roman" w:cstheme="minorHAnsi"/>
                <w:kern w:val="24"/>
              </w:rPr>
              <w:t>Y</w:t>
            </w:r>
          </w:p>
        </w:tc>
        <w:tc>
          <w:tcPr>
            <w:tcW w:w="4590" w:type="dxa"/>
          </w:tcPr>
          <w:p w:rsidR="0099575D" w:rsidRPr="006D2B2F" w:rsidRDefault="003E7F63" w:rsidP="0099575D">
            <w:pPr>
              <w:rPr>
                <w:rFonts w:cstheme="minorHAnsi"/>
              </w:rPr>
            </w:pPr>
            <w:r>
              <w:rPr>
                <w:rFonts w:cstheme="minorHAnsi"/>
              </w:rPr>
              <w:t>--</w:t>
            </w:r>
          </w:p>
        </w:tc>
        <w:tc>
          <w:tcPr>
            <w:tcW w:w="4950" w:type="dxa"/>
          </w:tcPr>
          <w:p w:rsidR="0099575D" w:rsidRPr="006D2B2F" w:rsidRDefault="003E7F63" w:rsidP="0099575D">
            <w:pPr>
              <w:rPr>
                <w:rFonts w:cstheme="minorHAnsi"/>
              </w:rPr>
            </w:pPr>
            <w:r>
              <w:rPr>
                <w:rFonts w:cstheme="minorHAnsi"/>
              </w:rPr>
              <w:t>--</w:t>
            </w:r>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rPr>
            </w:pPr>
            <w:r w:rsidRPr="006D2B2F">
              <w:rPr>
                <w:rFonts w:eastAsia="Times New Roman" w:cstheme="minorHAnsi"/>
                <w:kern w:val="24"/>
              </w:rPr>
              <w:t>The Disabled Access Credit</w:t>
            </w:r>
            <w:r w:rsidR="007B0CC4">
              <w:rPr>
                <w:rFonts w:eastAsia="Times New Roman" w:cstheme="minorHAnsi"/>
                <w:kern w:val="24"/>
              </w:rPr>
              <w:t xml:space="preserve"> (DATC)</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jc w:val="center"/>
              <w:rPr>
                <w:rFonts w:eastAsia="Times New Roman" w:cstheme="minorHAnsi"/>
              </w:rPr>
            </w:pPr>
            <w:r w:rsidRPr="006D2B2F">
              <w:rPr>
                <w:rFonts w:eastAsia="Times New Roman" w:cstheme="minorHAnsi"/>
                <w:kern w:val="24"/>
              </w:rPr>
              <w: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4D6F12" w:rsidP="0099575D">
            <w:pPr>
              <w:rPr>
                <w:rFonts w:eastAsia="Times New Roman" w:cstheme="minorHAnsi"/>
              </w:rPr>
            </w:pPr>
            <w:r w:rsidRPr="004D6F12">
              <w:rPr>
                <w:rFonts w:eastAsia="Times New Roman" w:cstheme="minorHAnsi"/>
                <w:b/>
                <w:kern w:val="24"/>
              </w:rPr>
              <w:t>Repeals</w:t>
            </w:r>
            <w:r w:rsidR="000022C8">
              <w:rPr>
                <w:rFonts w:eastAsia="Times New Roman" w:cstheme="minorHAnsi"/>
                <w:kern w:val="24"/>
              </w:rPr>
              <w:t xml:space="preserve">. </w:t>
            </w:r>
            <w:r w:rsidR="007B0CC4">
              <w:rPr>
                <w:rFonts w:eastAsia="Times New Roman" w:cstheme="minorHAnsi"/>
                <w:kern w:val="24"/>
              </w:rPr>
              <w:t>DATC</w:t>
            </w:r>
            <w:r w:rsidR="000022C8" w:rsidRPr="000022C8">
              <w:rPr>
                <w:rFonts w:eastAsia="Times New Roman" w:cstheme="minorHAnsi"/>
                <w:kern w:val="24"/>
              </w:rPr>
              <w:t xml:space="preserve"> was created in 1990 to assist small businesses in meeting obligations created by the</w:t>
            </w:r>
            <w:r w:rsidR="007B0CC4">
              <w:rPr>
                <w:rFonts w:eastAsia="Times New Roman" w:cstheme="minorHAnsi"/>
                <w:kern w:val="24"/>
              </w:rPr>
              <w:t xml:space="preserve"> ADA.</w:t>
            </w:r>
            <w:r w:rsidR="000022C8" w:rsidRPr="000022C8">
              <w:rPr>
                <w:rFonts w:eastAsia="Times New Roman" w:cstheme="minorHAnsi"/>
                <w:kern w:val="24"/>
              </w:rPr>
              <w:t xml:space="preserve"> It allows small businesses (</w:t>
            </w:r>
            <w:r w:rsidR="007B0CC4">
              <w:rPr>
                <w:rFonts w:eastAsia="Times New Roman" w:cstheme="minorHAnsi"/>
                <w:kern w:val="24"/>
              </w:rPr>
              <w:t>&lt;</w:t>
            </w:r>
            <w:r w:rsidR="000022C8" w:rsidRPr="000022C8">
              <w:rPr>
                <w:rFonts w:eastAsia="Times New Roman" w:cstheme="minorHAnsi"/>
                <w:kern w:val="24"/>
              </w:rPr>
              <w:t>31 emp</w:t>
            </w:r>
            <w:r w:rsidR="007B0CC4">
              <w:rPr>
                <w:rFonts w:eastAsia="Times New Roman" w:cstheme="minorHAnsi"/>
                <w:kern w:val="24"/>
              </w:rPr>
              <w:t>loyees and gross receipts &lt;</w:t>
            </w:r>
            <w:r w:rsidR="000022C8">
              <w:rPr>
                <w:rFonts w:eastAsia="Times New Roman" w:cstheme="minorHAnsi"/>
                <w:kern w:val="24"/>
              </w:rPr>
              <w:t xml:space="preserve"> $1 million a year) to claim</w:t>
            </w:r>
            <w:r w:rsidR="000022C8" w:rsidRPr="000022C8">
              <w:rPr>
                <w:rFonts w:eastAsia="Times New Roman" w:cstheme="minorHAnsi"/>
                <w:kern w:val="24"/>
              </w:rPr>
              <w:t xml:space="preserve"> a</w:t>
            </w:r>
            <w:r w:rsidR="006C0284">
              <w:rPr>
                <w:rFonts w:eastAsia="Times New Roman" w:cstheme="minorHAnsi"/>
                <w:kern w:val="24"/>
              </w:rPr>
              <w:t xml:space="preserve"> nonrefundable tax credit.  </w:t>
            </w:r>
            <w:r w:rsidR="000022C8" w:rsidRPr="000022C8">
              <w:rPr>
                <w:rFonts w:eastAsia="Times New Roman" w:cstheme="minorHAnsi"/>
                <w:kern w:val="24"/>
              </w:rPr>
              <w:t>Credit provides 50% of eligible expenditures between $250 and $10,000 for a maximum of $5,000.</w:t>
            </w:r>
          </w:p>
        </w:tc>
        <w:tc>
          <w:tcPr>
            <w:tcW w:w="4950" w:type="dxa"/>
          </w:tcPr>
          <w:p w:rsidR="0099575D" w:rsidRPr="006D2B2F" w:rsidRDefault="003E7F63" w:rsidP="0099575D">
            <w:pPr>
              <w:rPr>
                <w:rFonts w:cstheme="minorHAnsi"/>
              </w:rPr>
            </w:pPr>
            <w:r>
              <w:rPr>
                <w:rFonts w:cstheme="minorHAnsi"/>
              </w:rPr>
              <w:t>--</w:t>
            </w:r>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rPr>
            </w:pPr>
            <w:r w:rsidRPr="006D2B2F">
              <w:rPr>
                <w:rFonts w:eastAsia="Times New Roman" w:cstheme="minorHAnsi"/>
                <w:kern w:val="24"/>
              </w:rPr>
              <w:t>Work Opportunity Tax Credit</w:t>
            </w:r>
            <w:r w:rsidR="00AF3759">
              <w:rPr>
                <w:rFonts w:eastAsia="Times New Roman" w:cstheme="minorHAnsi"/>
                <w:kern w:val="24"/>
              </w:rPr>
              <w:t xml:space="preserve"> (WOTC)</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jc w:val="center"/>
              <w:rPr>
                <w:rFonts w:eastAsia="Times New Roman" w:cstheme="minorHAnsi"/>
              </w:rPr>
            </w:pPr>
            <w:r w:rsidRPr="006D2B2F">
              <w:rPr>
                <w:rFonts w:eastAsia="Times New Roman" w:cstheme="minorHAnsi"/>
                <w:kern w:val="24"/>
              </w:rPr>
              <w: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4D6F12" w:rsidP="0099575D">
            <w:pPr>
              <w:rPr>
                <w:rFonts w:eastAsia="Times New Roman" w:cstheme="minorHAnsi"/>
              </w:rPr>
            </w:pPr>
            <w:r w:rsidRPr="004D6F12">
              <w:rPr>
                <w:rFonts w:eastAsia="Times New Roman" w:cstheme="minorHAnsi"/>
                <w:b/>
                <w:kern w:val="24"/>
              </w:rPr>
              <w:t>Repeals</w:t>
            </w:r>
            <w:r w:rsidR="00EC6D2D">
              <w:rPr>
                <w:rFonts w:eastAsia="Times New Roman" w:cstheme="minorHAnsi"/>
                <w:kern w:val="24"/>
              </w:rPr>
              <w:t xml:space="preserve">. </w:t>
            </w:r>
            <w:r w:rsidR="00AF3759">
              <w:rPr>
                <w:rFonts w:eastAsia="Times New Roman" w:cstheme="minorHAnsi"/>
                <w:kern w:val="24"/>
              </w:rPr>
              <w:t>WOTC</w:t>
            </w:r>
            <w:r w:rsidR="00EC6D2D" w:rsidRPr="00EC6D2D">
              <w:rPr>
                <w:rFonts w:eastAsia="Times New Roman" w:cstheme="minorHAnsi"/>
                <w:kern w:val="24"/>
              </w:rPr>
              <w:t xml:space="preserve"> was created in 1996 to replace the Targeted Jobs Tax Credit. </w:t>
            </w:r>
            <w:r w:rsidR="00AF3759">
              <w:rPr>
                <w:rFonts w:eastAsia="Times New Roman" w:cstheme="minorHAnsi"/>
                <w:kern w:val="24"/>
              </w:rPr>
              <w:t xml:space="preserve">It </w:t>
            </w:r>
            <w:r w:rsidR="00EC6D2D" w:rsidRPr="00EC6D2D">
              <w:rPr>
                <w:rFonts w:eastAsia="Times New Roman" w:cstheme="minorHAnsi"/>
                <w:kern w:val="24"/>
              </w:rPr>
              <w:t>available to employers for hiring individuals from certain target groups</w:t>
            </w:r>
            <w:r w:rsidR="00AF3759">
              <w:rPr>
                <w:rFonts w:eastAsia="Times New Roman" w:cstheme="minorHAnsi"/>
                <w:kern w:val="24"/>
              </w:rPr>
              <w:t xml:space="preserve"> -</w:t>
            </w:r>
            <w:r w:rsidR="00EC6D2D" w:rsidRPr="00EC6D2D">
              <w:rPr>
                <w:rFonts w:eastAsia="Times New Roman" w:cstheme="minorHAnsi"/>
                <w:kern w:val="24"/>
              </w:rPr>
              <w:t xml:space="preserve">. people who receive </w:t>
            </w:r>
            <w:r w:rsidR="00AF3759">
              <w:rPr>
                <w:rFonts w:eastAsia="Times New Roman" w:cstheme="minorHAnsi"/>
                <w:kern w:val="24"/>
              </w:rPr>
              <w:t>SSI</w:t>
            </w:r>
            <w:r w:rsidR="00EC6D2D" w:rsidRPr="00EC6D2D">
              <w:rPr>
                <w:rFonts w:eastAsia="Times New Roman" w:cstheme="minorHAnsi"/>
                <w:kern w:val="24"/>
              </w:rPr>
              <w:t xml:space="preserve"> or who are referred by a </w:t>
            </w:r>
            <w:r w:rsidR="00AF3759">
              <w:rPr>
                <w:rFonts w:eastAsia="Times New Roman" w:cstheme="minorHAnsi"/>
                <w:kern w:val="24"/>
              </w:rPr>
              <w:t xml:space="preserve">VR </w:t>
            </w:r>
            <w:r w:rsidR="00EC6D2D" w:rsidRPr="00EC6D2D">
              <w:rPr>
                <w:rFonts w:eastAsia="Times New Roman" w:cstheme="minorHAnsi"/>
                <w:kern w:val="24"/>
              </w:rPr>
              <w:t xml:space="preserve">agency but is not open to </w:t>
            </w:r>
            <w:r w:rsidR="00AF3759">
              <w:rPr>
                <w:rFonts w:eastAsia="Times New Roman" w:cstheme="minorHAnsi"/>
                <w:kern w:val="24"/>
              </w:rPr>
              <w:t>SSDI</w:t>
            </w:r>
            <w:r w:rsidR="00EC6D2D" w:rsidRPr="00EC6D2D">
              <w:rPr>
                <w:rFonts w:eastAsia="Times New Roman" w:cstheme="minorHAnsi"/>
                <w:kern w:val="24"/>
              </w:rPr>
              <w:t xml:space="preserve"> beneficiaries. Business who hire disabled veterans and people receiving </w:t>
            </w:r>
            <w:r w:rsidR="00AF3759">
              <w:rPr>
                <w:rFonts w:eastAsia="Times New Roman" w:cstheme="minorHAnsi"/>
                <w:kern w:val="24"/>
              </w:rPr>
              <w:t>SNAP or TANF</w:t>
            </w:r>
            <w:r w:rsidR="00EC6D2D" w:rsidRPr="00EC6D2D">
              <w:rPr>
                <w:rFonts w:eastAsia="Times New Roman" w:cstheme="minorHAnsi"/>
                <w:kern w:val="24"/>
              </w:rPr>
              <w:t xml:space="preserve">, for </w:t>
            </w:r>
            <w:r w:rsidR="00EC6D2D" w:rsidRPr="00EC6D2D">
              <w:rPr>
                <w:rFonts w:eastAsia="Times New Roman" w:cstheme="minorHAnsi"/>
                <w:kern w:val="24"/>
              </w:rPr>
              <w:lastRenderedPageBreak/>
              <w:t>example, are also eligible to receive this credit. The amount of the credit an emplo</w:t>
            </w:r>
            <w:r w:rsidR="007E612C">
              <w:rPr>
                <w:rFonts w:eastAsia="Times New Roman" w:cstheme="minorHAnsi"/>
                <w:kern w:val="24"/>
              </w:rPr>
              <w:t>yer can claim is dependent on</w:t>
            </w:r>
            <w:r w:rsidR="00EC6D2D" w:rsidRPr="00EC6D2D">
              <w:rPr>
                <w:rFonts w:eastAsia="Times New Roman" w:cstheme="minorHAnsi"/>
                <w:kern w:val="24"/>
              </w:rPr>
              <w:t xml:space="preserve"> which targeted group an individual belongs. The WOTC for people with disabilities provides a credit for up to 40% of the first $6,000 in wages, for a maximum of $2,400 for SSI beneficiaries but up to $9,600 for certain disabled veterans.  </w:t>
            </w:r>
            <w:r w:rsidR="00AF3759">
              <w:rPr>
                <w:rFonts w:eastAsia="Times New Roman" w:cstheme="minorHAnsi"/>
                <w:kern w:val="24"/>
              </w:rPr>
              <w:t xml:space="preserve">It is </w:t>
            </w:r>
            <w:r w:rsidR="00EC6D2D" w:rsidRPr="00EC6D2D">
              <w:rPr>
                <w:rFonts w:eastAsia="Times New Roman" w:cstheme="minorHAnsi"/>
                <w:kern w:val="24"/>
              </w:rPr>
              <w:t>underutilized because it has been reauthorized year to year retroactively, meaning businesses cannot count on being able to claim the credit. It is also difficult to claim because it requires certification before work begins and paperwork within 28 days of work beginning, even when it hasn’t been reauthorized.</w:t>
            </w:r>
          </w:p>
        </w:tc>
        <w:tc>
          <w:tcPr>
            <w:tcW w:w="4950" w:type="dxa"/>
          </w:tcPr>
          <w:p w:rsidR="0099575D" w:rsidRPr="006D2B2F" w:rsidRDefault="003E7F63" w:rsidP="0099575D">
            <w:pPr>
              <w:rPr>
                <w:rFonts w:cstheme="minorHAnsi"/>
              </w:rPr>
            </w:pPr>
            <w:r>
              <w:rPr>
                <w:rFonts w:cstheme="minorHAnsi"/>
              </w:rPr>
              <w:lastRenderedPageBreak/>
              <w:t>---</w:t>
            </w:r>
          </w:p>
        </w:tc>
      </w:tr>
      <w:tr w:rsidR="00766EFA"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A10830" w:rsidRPr="006D2B2F" w:rsidRDefault="00A10830" w:rsidP="00A10830">
            <w:pPr>
              <w:rPr>
                <w:rFonts w:eastAsia="Times New Roman" w:cstheme="minorHAnsi"/>
              </w:rPr>
            </w:pPr>
            <w:r w:rsidRPr="006D2B2F">
              <w:rPr>
                <w:rFonts w:eastAsia="Times New Roman" w:cstheme="minorHAnsi"/>
                <w:kern w:val="24"/>
              </w:rPr>
              <w:t>Achieving a Better Life (ABLE)</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A10830" w:rsidRPr="006D2B2F" w:rsidRDefault="00A10830" w:rsidP="00A10830">
            <w:pPr>
              <w:jc w:val="center"/>
              <w:rPr>
                <w:rFonts w:eastAsia="Times New Roman" w:cstheme="minorHAnsi"/>
              </w:rPr>
            </w:pPr>
            <w:r w:rsidRPr="006D2B2F">
              <w:rPr>
                <w:rFonts w:eastAsia="Times New Roman" w:cstheme="minorHAnsi"/>
                <w:kern w:val="24"/>
              </w:rPr>
              <w: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0F63" w:rsidRPr="006D2B2F" w:rsidRDefault="00B71586" w:rsidP="00000F63">
            <w:pPr>
              <w:rPr>
                <w:rFonts w:eastAsia="Times New Roman" w:cstheme="minorHAnsi"/>
              </w:rPr>
            </w:pPr>
            <w:r w:rsidRPr="00000F63">
              <w:rPr>
                <w:rFonts w:eastAsia="Times New Roman" w:cstheme="minorHAnsi"/>
                <w:b/>
              </w:rPr>
              <w:t>Expands</w:t>
            </w:r>
            <w:r>
              <w:rPr>
                <w:rFonts w:eastAsia="Times New Roman" w:cstheme="minorHAnsi"/>
              </w:rPr>
              <w:t xml:space="preserve">. </w:t>
            </w:r>
            <w:r w:rsidR="00000F63">
              <w:rPr>
                <w:rFonts w:eastAsia="Times New Roman" w:cstheme="minorHAnsi"/>
              </w:rPr>
              <w:t>I</w:t>
            </w:r>
            <w:r w:rsidR="00000F63" w:rsidRPr="00000F63">
              <w:rPr>
                <w:rFonts w:eastAsia="Times New Roman" w:cstheme="minorHAnsi"/>
              </w:rPr>
              <w:t>mprove</w:t>
            </w:r>
            <w:r w:rsidR="00000F63">
              <w:rPr>
                <w:rFonts w:eastAsia="Times New Roman" w:cstheme="minorHAnsi"/>
              </w:rPr>
              <w:t>s</w:t>
            </w:r>
            <w:r w:rsidR="00000F63" w:rsidRPr="00000F63">
              <w:rPr>
                <w:rFonts w:eastAsia="Times New Roman" w:cstheme="minorHAnsi"/>
              </w:rPr>
              <w:t xml:space="preserve"> the ABLE program by allowing rollovers from 529 education savings accounts</w:t>
            </w:r>
            <w:r w:rsidR="00000F63">
              <w:rPr>
                <w:rFonts w:eastAsia="Times New Roman" w:cstheme="minorHAnsi"/>
              </w:rPr>
              <w:t xml:space="preserve">. </w:t>
            </w:r>
            <w:r w:rsidR="00000F63" w:rsidRPr="00000F63">
              <w:rPr>
                <w:rFonts w:eastAsia="Times New Roman" w:cstheme="minorHAnsi"/>
              </w:rPr>
              <w:t xml:space="preserve"> </w:t>
            </w:r>
            <w:r w:rsidR="00000F63">
              <w:rPr>
                <w:rFonts w:eastAsia="Times New Roman" w:cstheme="minorHAnsi"/>
              </w:rPr>
              <w:t xml:space="preserve">CCD does not </w:t>
            </w:r>
            <w:r w:rsidR="00000F63" w:rsidRPr="00510CCE">
              <w:rPr>
                <w:rFonts w:eastAsia="Times New Roman" w:cstheme="minorHAnsi"/>
              </w:rPr>
              <w:t>support passage of any A</w:t>
            </w:r>
            <w:r w:rsidR="00000F63">
              <w:rPr>
                <w:rFonts w:eastAsia="Times New Roman" w:cstheme="minorHAnsi"/>
              </w:rPr>
              <w:t xml:space="preserve">BLE Act changes unless </w:t>
            </w:r>
            <w:r w:rsidR="00000F63" w:rsidRPr="00510CCE">
              <w:rPr>
                <w:rFonts w:eastAsia="Times New Roman" w:cstheme="minorHAnsi"/>
              </w:rPr>
              <w:t xml:space="preserve">the age of </w:t>
            </w:r>
            <w:r w:rsidR="00000F63">
              <w:rPr>
                <w:rFonts w:eastAsia="Times New Roman" w:cstheme="minorHAnsi"/>
              </w:rPr>
              <w:t xml:space="preserve">disability </w:t>
            </w:r>
            <w:r w:rsidR="00000F63" w:rsidRPr="00510CCE">
              <w:rPr>
                <w:rFonts w:eastAsia="Times New Roman" w:cstheme="minorHAnsi"/>
              </w:rPr>
              <w:t>onset is substantially increased</w:t>
            </w:r>
            <w:r w:rsidR="00000F63">
              <w:rPr>
                <w:rFonts w:eastAsia="Times New Roman" w:cstheme="minorHAnsi"/>
              </w:rPr>
              <w:t>.</w:t>
            </w:r>
            <w:r w:rsidR="00000F63" w:rsidRPr="00510CCE">
              <w:rPr>
                <w:rFonts w:eastAsia="Times New Roman" w:cstheme="minorHAnsi"/>
              </w:rPr>
              <w:t xml:space="preserve"> </w:t>
            </w:r>
            <w:r w:rsidR="00000F63">
              <w:rPr>
                <w:rFonts w:eastAsia="Times New Roman" w:cstheme="minorHAnsi"/>
              </w:rPr>
              <w:t xml:space="preserve">See </w:t>
            </w:r>
            <w:hyperlink r:id="rId8" w:history="1">
              <w:r w:rsidR="00000F63" w:rsidRPr="00EC66AC">
                <w:rPr>
                  <w:rStyle w:val="Hyperlink"/>
                  <w:rFonts w:eastAsia="Times New Roman" w:cstheme="minorHAnsi"/>
                </w:rPr>
                <w:t>CCD letter.</w:t>
              </w:r>
            </w:hyperlink>
            <w:r w:rsidR="00000F63">
              <w:rPr>
                <w:rStyle w:val="Hyperlink"/>
                <w:rFonts w:eastAsia="Times New Roman" w:cstheme="minorHAnsi"/>
              </w:rPr>
              <w:t xml:space="preserve"> </w:t>
            </w:r>
          </w:p>
          <w:p w:rsidR="00A10830" w:rsidRPr="006D2B2F" w:rsidRDefault="00A10830" w:rsidP="00B71586">
            <w:pPr>
              <w:rPr>
                <w:rFonts w:eastAsia="Times New Roman"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10830" w:rsidRPr="006D2B2F" w:rsidRDefault="00FB74CA" w:rsidP="00A10830">
            <w:pPr>
              <w:rPr>
                <w:rFonts w:eastAsia="Times New Roman" w:cstheme="minorHAnsi"/>
              </w:rPr>
            </w:pPr>
            <w:r>
              <w:rPr>
                <w:rFonts w:eastAsia="Times New Roman" w:cstheme="minorHAnsi"/>
                <w:b/>
              </w:rPr>
              <w:t xml:space="preserve">Expands. </w:t>
            </w:r>
            <w:r w:rsidR="00E70DBA" w:rsidRPr="006D2B2F">
              <w:rPr>
                <w:rFonts w:eastAsia="Times New Roman" w:cstheme="minorHAnsi"/>
              </w:rPr>
              <w:t>Two Burr a</w:t>
            </w:r>
            <w:r w:rsidR="00A10830" w:rsidRPr="006D2B2F">
              <w:rPr>
                <w:rFonts w:eastAsia="Times New Roman" w:cstheme="minorHAnsi"/>
              </w:rPr>
              <w:t>mendment</w:t>
            </w:r>
            <w:r w:rsidR="00E70DBA" w:rsidRPr="006D2B2F">
              <w:rPr>
                <w:rFonts w:eastAsia="Times New Roman" w:cstheme="minorHAnsi"/>
              </w:rPr>
              <w:t>s</w:t>
            </w:r>
            <w:r w:rsidR="00A10830" w:rsidRPr="006D2B2F">
              <w:rPr>
                <w:rFonts w:eastAsia="Times New Roman" w:cstheme="minorHAnsi"/>
              </w:rPr>
              <w:t xml:space="preserve"> </w:t>
            </w:r>
            <w:r w:rsidR="008F7A7C" w:rsidRPr="006D2B2F">
              <w:rPr>
                <w:rFonts w:eastAsia="Times New Roman" w:cstheme="minorHAnsi"/>
              </w:rPr>
              <w:t xml:space="preserve">(82 &amp; 83) </w:t>
            </w:r>
            <w:r w:rsidR="00A10830" w:rsidRPr="006D2B2F">
              <w:rPr>
                <w:rFonts w:eastAsia="Times New Roman" w:cstheme="minorHAnsi"/>
              </w:rPr>
              <w:t xml:space="preserve">to improve </w:t>
            </w:r>
            <w:r w:rsidR="00510CCE">
              <w:rPr>
                <w:rFonts w:eastAsia="Times New Roman" w:cstheme="minorHAnsi"/>
              </w:rPr>
              <w:t xml:space="preserve">the </w:t>
            </w:r>
            <w:r w:rsidR="00A10830" w:rsidRPr="006D2B2F">
              <w:rPr>
                <w:rFonts w:eastAsia="Times New Roman" w:cstheme="minorHAnsi"/>
              </w:rPr>
              <w:t>ABLE program</w:t>
            </w:r>
            <w:r w:rsidR="00510CCE">
              <w:rPr>
                <w:rFonts w:eastAsia="Times New Roman" w:cstheme="minorHAnsi"/>
              </w:rPr>
              <w:t xml:space="preserve"> by</w:t>
            </w:r>
            <w:r w:rsidR="00EC66AC">
              <w:rPr>
                <w:rFonts w:eastAsia="Times New Roman" w:cstheme="minorHAnsi"/>
              </w:rPr>
              <w:t xml:space="preserve"> </w:t>
            </w:r>
            <w:r w:rsidR="00510CCE">
              <w:rPr>
                <w:rFonts w:eastAsia="Times New Roman" w:cstheme="minorHAnsi"/>
              </w:rPr>
              <w:t>allowing increased contributions to ABLE accounts and rollovers from 529 education savings accounts</w:t>
            </w:r>
            <w:r w:rsidR="00510CCE" w:rsidRPr="00510CCE">
              <w:rPr>
                <w:rFonts w:eastAsia="Times New Roman" w:cstheme="minorHAnsi"/>
              </w:rPr>
              <w:t xml:space="preserve"> </w:t>
            </w:r>
            <w:r w:rsidR="00510CCE">
              <w:rPr>
                <w:rFonts w:eastAsia="Times New Roman" w:cstheme="minorHAnsi"/>
              </w:rPr>
              <w:t>were passed</w:t>
            </w:r>
            <w:r>
              <w:rPr>
                <w:rFonts w:eastAsia="Times New Roman" w:cstheme="minorHAnsi"/>
              </w:rPr>
              <w:t xml:space="preserve"> in Committee</w:t>
            </w:r>
            <w:r w:rsidR="00510CCE">
              <w:rPr>
                <w:rFonts w:eastAsia="Times New Roman" w:cstheme="minorHAnsi"/>
              </w:rPr>
              <w:t xml:space="preserve">. CCD does not </w:t>
            </w:r>
            <w:r w:rsidR="00510CCE" w:rsidRPr="00510CCE">
              <w:rPr>
                <w:rFonts w:eastAsia="Times New Roman" w:cstheme="minorHAnsi"/>
              </w:rPr>
              <w:t>not support passage of any A</w:t>
            </w:r>
            <w:r w:rsidR="00510CCE">
              <w:rPr>
                <w:rFonts w:eastAsia="Times New Roman" w:cstheme="minorHAnsi"/>
              </w:rPr>
              <w:t xml:space="preserve">BLE Act changes unless </w:t>
            </w:r>
            <w:r w:rsidR="00510CCE" w:rsidRPr="00510CCE">
              <w:rPr>
                <w:rFonts w:eastAsia="Times New Roman" w:cstheme="minorHAnsi"/>
              </w:rPr>
              <w:t xml:space="preserve">the age of </w:t>
            </w:r>
            <w:r w:rsidR="00510CCE">
              <w:rPr>
                <w:rFonts w:eastAsia="Times New Roman" w:cstheme="minorHAnsi"/>
              </w:rPr>
              <w:t xml:space="preserve">disability </w:t>
            </w:r>
            <w:r w:rsidR="00510CCE" w:rsidRPr="00510CCE">
              <w:rPr>
                <w:rFonts w:eastAsia="Times New Roman" w:cstheme="minorHAnsi"/>
              </w:rPr>
              <w:t>onset is substantially increased</w:t>
            </w:r>
            <w:r w:rsidR="00510CCE">
              <w:rPr>
                <w:rFonts w:eastAsia="Times New Roman" w:cstheme="minorHAnsi"/>
              </w:rPr>
              <w:t>.</w:t>
            </w:r>
            <w:r w:rsidR="00510CCE" w:rsidRPr="00510CCE">
              <w:rPr>
                <w:rFonts w:eastAsia="Times New Roman" w:cstheme="minorHAnsi"/>
              </w:rPr>
              <w:t xml:space="preserve"> </w:t>
            </w:r>
            <w:r w:rsidR="00EC66AC">
              <w:rPr>
                <w:rFonts w:eastAsia="Times New Roman" w:cstheme="minorHAnsi"/>
              </w:rPr>
              <w:t xml:space="preserve">See </w:t>
            </w:r>
            <w:hyperlink r:id="rId9" w:history="1">
              <w:r w:rsidR="00EC66AC" w:rsidRPr="00EC66AC">
                <w:rPr>
                  <w:rStyle w:val="Hyperlink"/>
                  <w:rFonts w:eastAsia="Times New Roman" w:cstheme="minorHAnsi"/>
                </w:rPr>
                <w:t>CCD letter.</w:t>
              </w:r>
            </w:hyperlink>
          </w:p>
        </w:tc>
      </w:tr>
      <w:tr w:rsidR="0099575D"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rPr>
                <w:rFonts w:eastAsia="Times New Roman" w:cstheme="minorHAnsi"/>
              </w:rPr>
            </w:pPr>
            <w:r w:rsidRPr="006D2B2F">
              <w:rPr>
                <w:rFonts w:eastAsia="Times New Roman" w:cstheme="minorHAnsi"/>
                <w:kern w:val="24"/>
              </w:rPr>
              <w:t>Low income housing tax credit</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99575D" w:rsidP="0099575D">
            <w:pPr>
              <w:jc w:val="center"/>
              <w:rPr>
                <w:rFonts w:eastAsia="Times New Roman" w:cstheme="minorHAnsi"/>
              </w:rPr>
            </w:pPr>
            <w:r w:rsidRPr="006D2B2F">
              <w:rPr>
                <w:rFonts w:eastAsia="Times New Roman" w:cstheme="minorHAnsi"/>
                <w:kern w:val="24"/>
              </w:rPr>
              <w: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99575D" w:rsidRPr="006D2B2F" w:rsidRDefault="004D6F12" w:rsidP="0099575D">
            <w:pPr>
              <w:rPr>
                <w:rFonts w:eastAsia="Times New Roman" w:cstheme="minorHAnsi"/>
              </w:rPr>
            </w:pPr>
            <w:r w:rsidRPr="004D6F12">
              <w:rPr>
                <w:rFonts w:eastAsia="Times New Roman" w:cstheme="minorHAnsi"/>
                <w:b/>
                <w:kern w:val="24"/>
              </w:rPr>
              <w:t>Partially repeals</w:t>
            </w:r>
            <w:r>
              <w:rPr>
                <w:rFonts w:eastAsia="Times New Roman" w:cstheme="minorHAnsi"/>
                <w:kern w:val="24"/>
              </w:rPr>
              <w:t xml:space="preserve">. </w:t>
            </w:r>
            <w:r w:rsidR="0099575D" w:rsidRPr="006D2B2F">
              <w:rPr>
                <w:rFonts w:eastAsia="Times New Roman" w:cstheme="minorHAnsi"/>
                <w:kern w:val="24"/>
              </w:rPr>
              <w:t>Eliminates the credits for private activity bonds</w:t>
            </w:r>
            <w:r w:rsidR="000A5AA7">
              <w:rPr>
                <w:rFonts w:eastAsia="Times New Roman" w:cstheme="minorHAnsi"/>
                <w:kern w:val="24"/>
              </w:rPr>
              <w:t>.</w:t>
            </w:r>
            <w:r w:rsidR="0099575D" w:rsidRPr="006D2B2F">
              <w:rPr>
                <w:rFonts w:eastAsia="Times New Roman" w:cstheme="minorHAnsi"/>
                <w:kern w:val="24"/>
              </w:rPr>
              <w:t xml:space="preserve"> </w:t>
            </w:r>
            <w:r w:rsidR="0029732D">
              <w:rPr>
                <w:rFonts w:eastAsia="Times New Roman" w:cstheme="minorHAnsi"/>
                <w:kern w:val="24"/>
              </w:rPr>
              <w:t xml:space="preserve"> </w:t>
            </w:r>
            <w:r w:rsidR="00485F50" w:rsidRPr="00485F50">
              <w:rPr>
                <w:rFonts w:eastAsia="Times New Roman" w:cstheme="minorHAnsi"/>
                <w:kern w:val="24"/>
              </w:rPr>
              <w:t>Tax-exemp</w:t>
            </w:r>
            <w:r w:rsidR="00485F50">
              <w:rPr>
                <w:rFonts w:eastAsia="Times New Roman" w:cstheme="minorHAnsi"/>
                <w:kern w:val="24"/>
              </w:rPr>
              <w:t xml:space="preserve">t private activity bonds </w:t>
            </w:r>
            <w:r w:rsidR="00485F50" w:rsidRPr="00485F50">
              <w:rPr>
                <w:rFonts w:eastAsia="Times New Roman" w:cstheme="minorHAnsi"/>
                <w:kern w:val="24"/>
              </w:rPr>
              <w:t>are issued by state or local governments and loaned to private companies to finance qualified projects. The bonds are most commonly used for the construction of affordable multifamily housing, but also for hospitals and infrastructure projects, like roads and bridges.</w:t>
            </w:r>
            <w:r w:rsidR="00485F50">
              <w:rPr>
                <w:rFonts w:eastAsia="Times New Roman" w:cstheme="minorHAnsi"/>
                <w:kern w:val="24"/>
              </w:rPr>
              <w:t xml:space="preserve"> </w:t>
            </w:r>
            <w:r w:rsidR="00B171D2">
              <w:rPr>
                <w:rFonts w:eastAsia="Times New Roman" w:cstheme="minorHAnsi"/>
                <w:kern w:val="24"/>
              </w:rPr>
              <w:t xml:space="preserve"> </w:t>
            </w:r>
            <w:r w:rsidR="00641012">
              <w:rPr>
                <w:rFonts w:eastAsia="Times New Roman" w:cstheme="minorHAnsi"/>
                <w:kern w:val="24"/>
              </w:rPr>
              <w:t xml:space="preserve">This </w:t>
            </w:r>
            <w:r w:rsidR="00641012" w:rsidRPr="00641012">
              <w:rPr>
                <w:rFonts w:eastAsia="Times New Roman" w:cstheme="minorHAnsi"/>
                <w:kern w:val="24"/>
              </w:rPr>
              <w:t xml:space="preserve">will result in an estimated 950,000 fewer tax credit units being developed </w:t>
            </w:r>
            <w:r w:rsidR="00641012" w:rsidRPr="00641012">
              <w:rPr>
                <w:rFonts w:eastAsia="Times New Roman" w:cstheme="minorHAnsi"/>
                <w:kern w:val="24"/>
              </w:rPr>
              <w:lastRenderedPageBreak/>
              <w:t>over the next decade.</w:t>
            </w:r>
            <w:r w:rsidR="00641012">
              <w:rPr>
                <w:rFonts w:eastAsia="Times New Roman" w:cstheme="minorHAnsi"/>
                <w:kern w:val="24"/>
              </w:rPr>
              <w:t xml:space="preserve">  </w:t>
            </w:r>
            <w:r w:rsidR="0029732D">
              <w:rPr>
                <w:rFonts w:eastAsia="Times New Roman" w:cstheme="minorHAnsi"/>
                <w:kern w:val="24"/>
              </w:rPr>
              <w:t xml:space="preserve">Learn more </w:t>
            </w:r>
            <w:r w:rsidR="009C0481">
              <w:rPr>
                <w:rFonts w:eastAsia="Times New Roman" w:cstheme="minorHAnsi"/>
                <w:kern w:val="24"/>
              </w:rPr>
              <w:t xml:space="preserve">from the </w:t>
            </w:r>
            <w:hyperlink r:id="rId10" w:history="1">
              <w:r w:rsidR="009C0481">
                <w:rPr>
                  <w:rStyle w:val="Hyperlink"/>
                  <w:rFonts w:eastAsia="Times New Roman" w:cstheme="minorHAnsi"/>
                  <w:kern w:val="24"/>
                </w:rPr>
                <w:t>National L</w:t>
              </w:r>
              <w:r w:rsidR="009C0481" w:rsidRPr="009C0481">
                <w:rPr>
                  <w:rStyle w:val="Hyperlink"/>
                  <w:rFonts w:eastAsia="Times New Roman" w:cstheme="minorHAnsi"/>
                  <w:kern w:val="24"/>
                </w:rPr>
                <w:t>ow Income Housing Coalition</w:t>
              </w:r>
              <w:r w:rsidR="0029732D" w:rsidRPr="009C0481">
                <w:rPr>
                  <w:rStyle w:val="Hyperlink"/>
                  <w:rFonts w:eastAsia="Times New Roman" w:cstheme="minorHAnsi"/>
                  <w:kern w:val="24"/>
                </w:rPr>
                <w:t>.</w:t>
              </w:r>
            </w:hyperlink>
          </w:p>
        </w:tc>
        <w:tc>
          <w:tcPr>
            <w:tcW w:w="4950" w:type="dxa"/>
          </w:tcPr>
          <w:p w:rsidR="0099575D" w:rsidRPr="00821FDA" w:rsidRDefault="00EF6203" w:rsidP="0099575D">
            <w:pPr>
              <w:rPr>
                <w:rFonts w:cstheme="minorHAnsi"/>
              </w:rPr>
            </w:pPr>
            <w:r>
              <w:rPr>
                <w:rFonts w:cstheme="minorHAnsi"/>
              </w:rPr>
              <w:lastRenderedPageBreak/>
              <w:t xml:space="preserve"> </w:t>
            </w:r>
            <w:r w:rsidR="00821FDA" w:rsidRPr="00821FDA">
              <w:rPr>
                <w:rFonts w:eastAsia="Times New Roman" w:cstheme="minorHAnsi"/>
                <w:kern w:val="24"/>
              </w:rPr>
              <w:t>Summary in process</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003545" w:rsidRDefault="00537AF0" w:rsidP="00537AF0">
            <w:pPr>
              <w:rPr>
                <w:rFonts w:eastAsia="Times New Roman" w:cstheme="minorHAnsi"/>
                <w:kern w:val="24"/>
              </w:rPr>
            </w:pPr>
            <w:r w:rsidRPr="006D2B2F">
              <w:rPr>
                <w:rFonts w:eastAsia="Times New Roman" w:cstheme="minorHAnsi"/>
                <w:kern w:val="24"/>
              </w:rPr>
              <w:t>Charitable deduction</w:t>
            </w:r>
          </w:p>
          <w:p w:rsidR="00537AF0" w:rsidRPr="006D2B2F" w:rsidRDefault="00537AF0" w:rsidP="00537AF0">
            <w:pPr>
              <w:rPr>
                <w:rFonts w:eastAsia="Times New Roman" w:cstheme="minorHAnsi"/>
              </w:rPr>
            </w:pPr>
            <w:r w:rsidRPr="006D2B2F">
              <w:rPr>
                <w:rFonts w:eastAsia="Times New Roman" w:cstheme="minorHAnsi"/>
                <w:kern w:val="24"/>
              </w:rPr>
              <w:t xml:space="preserve"> </w:t>
            </w:r>
          </w:p>
        </w:tc>
        <w:tc>
          <w:tcPr>
            <w:tcW w:w="1268" w:type="dxa"/>
          </w:tcPr>
          <w:p w:rsidR="00537AF0" w:rsidRPr="006D2B2F" w:rsidRDefault="00537AF0" w:rsidP="00537AF0">
            <w:pPr>
              <w:jc w:val="center"/>
              <w:rPr>
                <w:rFonts w:eastAsia="Times New Roman" w:cstheme="minorHAnsi"/>
              </w:rPr>
            </w:pPr>
            <w:r w:rsidRPr="006D2B2F">
              <w:rPr>
                <w:rFonts w:eastAsia="Times New Roman" w:cstheme="minorHAnsi"/>
                <w:kern w:val="24"/>
              </w:rPr>
              <w:t>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rPr>
            </w:pPr>
            <w:r w:rsidRPr="006D2B2F">
              <w:rPr>
                <w:rFonts w:eastAsia="Times New Roman" w:cstheme="minorHAnsi"/>
                <w:kern w:val="24"/>
              </w:rPr>
              <w:t>Reduces incentives</w:t>
            </w:r>
            <w:r w:rsidR="00003545">
              <w:rPr>
                <w:rFonts w:eastAsia="Times New Roman" w:cstheme="minorHAnsi"/>
                <w:kern w:val="24"/>
              </w:rPr>
              <w:t xml:space="preserve">.  Summary </w:t>
            </w:r>
            <w:r>
              <w:rPr>
                <w:rFonts w:eastAsia="Times New Roman" w:cstheme="minorHAnsi"/>
                <w:kern w:val="24"/>
              </w:rPr>
              <w:t>in process.</w:t>
            </w:r>
          </w:p>
        </w:tc>
        <w:tc>
          <w:tcPr>
            <w:tcW w:w="4950" w:type="dxa"/>
          </w:tcPr>
          <w:p w:rsidR="00537AF0" w:rsidRPr="006D2B2F" w:rsidRDefault="00537AF0" w:rsidP="00537AF0">
            <w:pPr>
              <w:rPr>
                <w:rFonts w:eastAsia="Times New Roman" w:cstheme="minorHAnsi"/>
              </w:rPr>
            </w:pPr>
            <w:r w:rsidRPr="006D2B2F">
              <w:rPr>
                <w:rFonts w:eastAsia="Times New Roman" w:cstheme="minorHAnsi"/>
                <w:kern w:val="24"/>
              </w:rPr>
              <w:t>Reduces incentives</w:t>
            </w:r>
            <w:r>
              <w:rPr>
                <w:rFonts w:eastAsia="Times New Roman" w:cstheme="minorHAnsi"/>
                <w:kern w:val="24"/>
              </w:rPr>
              <w:t>.  Summary in process.</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Medical Expense Deduction</w:t>
            </w:r>
          </w:p>
        </w:tc>
        <w:tc>
          <w:tcPr>
            <w:tcW w:w="1268" w:type="dxa"/>
          </w:tcPr>
          <w:p w:rsidR="00537AF0" w:rsidRPr="006D2B2F" w:rsidRDefault="00537AF0" w:rsidP="00537AF0">
            <w:pPr>
              <w:rPr>
                <w:rFonts w:cstheme="minorHAnsi"/>
              </w:rPr>
            </w:pPr>
            <w:r>
              <w:rPr>
                <w:rFonts w:cstheme="minorHAnsi"/>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4D6F12">
              <w:rPr>
                <w:rFonts w:eastAsia="Times New Roman" w:cstheme="minorHAnsi"/>
                <w:b/>
                <w:kern w:val="24"/>
              </w:rPr>
              <w:t>Repeals</w:t>
            </w:r>
            <w:r w:rsidRPr="006D2B2F">
              <w:rPr>
                <w:rFonts w:eastAsia="Times New Roman" w:cstheme="minorHAnsi"/>
                <w:kern w:val="24"/>
              </w:rPr>
              <w:t>.  Nearly 9 million filers claim this deduction for medical care expenses exceed 10% of an individual or family’s adjusted gross income, and is intended to offset some of the high “out of pocket” medical expenses e.g. high cost prescription drugs, long term physical and occupational therapies, durable medical equipment, and long term care services and supports.</w:t>
            </w:r>
          </w:p>
        </w:tc>
        <w:tc>
          <w:tcPr>
            <w:tcW w:w="4950" w:type="dxa"/>
          </w:tcPr>
          <w:p w:rsidR="00537AF0" w:rsidRPr="006D2B2F" w:rsidRDefault="00537AF0" w:rsidP="00537AF0">
            <w:pPr>
              <w:rPr>
                <w:rFonts w:cstheme="minorHAnsi"/>
              </w:rPr>
            </w:pPr>
            <w:r>
              <w:rPr>
                <w:rFonts w:cstheme="minorHAnsi"/>
              </w:rPr>
              <w:t>---</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State &amp; Local Tax Deduction (SALT)</w:t>
            </w:r>
          </w:p>
        </w:tc>
        <w:tc>
          <w:tcPr>
            <w:tcW w:w="1268" w:type="dxa"/>
          </w:tcPr>
          <w:p w:rsidR="00537AF0" w:rsidRPr="006D2B2F" w:rsidRDefault="00537AF0" w:rsidP="00537AF0">
            <w:pPr>
              <w:rPr>
                <w:rFonts w:cstheme="minorHAnsi"/>
              </w:rPr>
            </w:pPr>
            <w:r>
              <w:rPr>
                <w:rFonts w:cstheme="minorHAnsi"/>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Pr>
                <w:rFonts w:eastAsia="Times New Roman" w:cstheme="minorHAnsi"/>
                <w:b/>
                <w:kern w:val="24"/>
              </w:rPr>
              <w:t>Partially repeals</w:t>
            </w:r>
            <w:r w:rsidRPr="006D2B2F">
              <w:rPr>
                <w:rFonts w:eastAsia="Times New Roman" w:cstheme="minorHAnsi"/>
                <w:kern w:val="24"/>
              </w:rPr>
              <w:t xml:space="preserve">. </w:t>
            </w:r>
            <w:r w:rsidRPr="00F160A8">
              <w:rPr>
                <w:rFonts w:eastAsia="Times New Roman" w:cstheme="minorHAnsi"/>
                <w:kern w:val="24"/>
              </w:rPr>
              <w:t xml:space="preserve">Taxpayers would lose the ability to deduct their state and local </w:t>
            </w:r>
            <w:r>
              <w:rPr>
                <w:rFonts w:eastAsia="Times New Roman" w:cstheme="minorHAnsi"/>
                <w:kern w:val="24"/>
              </w:rPr>
              <w:t xml:space="preserve">incomes and sales </w:t>
            </w:r>
            <w:r w:rsidRPr="006D2B2F">
              <w:rPr>
                <w:rFonts w:eastAsia="Times New Roman" w:cstheme="minorHAnsi"/>
                <w:kern w:val="24"/>
              </w:rPr>
              <w:t xml:space="preserve">tax. </w:t>
            </w:r>
            <w:r>
              <w:rPr>
                <w:rFonts w:eastAsia="Times New Roman" w:cstheme="minorHAnsi"/>
                <w:kern w:val="24"/>
              </w:rPr>
              <w:t>The deductions for property taxes would be limited to $10,000</w:t>
            </w:r>
            <w:r w:rsidRPr="006D2B2F">
              <w:rPr>
                <w:rFonts w:eastAsia="Times New Roman" w:cstheme="minorHAnsi"/>
                <w:kern w:val="24"/>
              </w:rPr>
              <w:t xml:space="preserve">.  </w:t>
            </w:r>
            <w:r>
              <w:rPr>
                <w:rFonts w:eastAsia="Times New Roman" w:cstheme="minorHAnsi"/>
                <w:kern w:val="24"/>
              </w:rPr>
              <w:t xml:space="preserve">Limiting SALT </w:t>
            </w:r>
            <w:r w:rsidRPr="00F160A8">
              <w:rPr>
                <w:rFonts w:eastAsia="Times New Roman" w:cstheme="minorHAnsi"/>
                <w:kern w:val="24"/>
              </w:rPr>
              <w:t>would disproportionately affect people living in high-tax states such CT, NJ, NY, &amp; CA.  There are two main problems with limiting the SALT deduction -1- People in higher tax states will end up with large tax increases; 2) states may lose public support for investing in quality public services (such as education, housing, &amp; transportation) and these services end up getting cut.</w:t>
            </w:r>
          </w:p>
        </w:tc>
        <w:tc>
          <w:tcPr>
            <w:tcW w:w="4950" w:type="dxa"/>
          </w:tcPr>
          <w:p w:rsidR="00537AF0" w:rsidRPr="006D2B2F" w:rsidRDefault="00537AF0" w:rsidP="00537AF0">
            <w:pPr>
              <w:rPr>
                <w:rFonts w:cstheme="minorHAnsi"/>
              </w:rPr>
            </w:pPr>
            <w:r w:rsidRPr="004D6F12">
              <w:rPr>
                <w:rFonts w:cstheme="minorHAnsi"/>
                <w:b/>
              </w:rPr>
              <w:t>Fully repeals</w:t>
            </w:r>
            <w:r>
              <w:rPr>
                <w:rFonts w:cstheme="minorHAnsi"/>
              </w:rPr>
              <w:t xml:space="preserve">.  </w:t>
            </w:r>
            <w:r w:rsidRPr="00E310E2">
              <w:rPr>
                <w:rFonts w:cstheme="minorHAnsi"/>
              </w:rPr>
              <w:t>Taxpayers would lose the ability to deduct their state and local property and other taxes from their federal taxes, a break used by abo</w:t>
            </w:r>
            <w:r>
              <w:rPr>
                <w:rFonts w:cstheme="minorHAnsi"/>
              </w:rPr>
              <w:t>ut 44 million people (or 30%</w:t>
            </w:r>
            <w:r w:rsidRPr="00E310E2">
              <w:rPr>
                <w:rFonts w:cstheme="minorHAnsi"/>
              </w:rPr>
              <w:t xml:space="preserve"> of tax filers.) Elim</w:t>
            </w:r>
            <w:r>
              <w:rPr>
                <w:rFonts w:cstheme="minorHAnsi"/>
              </w:rPr>
              <w:t>inating SALT</w:t>
            </w:r>
            <w:r w:rsidRPr="00E310E2">
              <w:rPr>
                <w:rFonts w:cstheme="minorHAnsi"/>
              </w:rPr>
              <w:t xml:space="preserve"> would disproportionately affect people living in high-tax states such </w:t>
            </w:r>
            <w:r>
              <w:rPr>
                <w:rFonts w:cstheme="minorHAnsi"/>
              </w:rPr>
              <w:t xml:space="preserve">CT, NJ, NY, &amp; CA.  </w:t>
            </w:r>
            <w:r w:rsidRPr="00F160A8">
              <w:rPr>
                <w:rFonts w:cstheme="minorHAnsi"/>
              </w:rPr>
              <w:t>There are two main problems with limiting or eliminating the SALT deduction -1- People in higher tax states will end up with large tax increases; 2) states may lose public support for investing in quality public services</w:t>
            </w:r>
            <w:r>
              <w:rPr>
                <w:rFonts w:cstheme="minorHAnsi"/>
              </w:rPr>
              <w:t xml:space="preserve"> (such as education, housing, &amp; transportation)</w:t>
            </w:r>
            <w:r w:rsidRPr="00F160A8">
              <w:rPr>
                <w:rFonts w:cstheme="minorHAnsi"/>
              </w:rPr>
              <w:t xml:space="preserve"> and these services end up getting cut.</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Child Tax Credit</w:t>
            </w:r>
            <w:r>
              <w:rPr>
                <w:rFonts w:eastAsia="Times New Roman" w:cstheme="minorHAnsi"/>
                <w:kern w:val="24"/>
              </w:rPr>
              <w:t xml:space="preserve"> (CTC)</w:t>
            </w:r>
          </w:p>
        </w:tc>
        <w:tc>
          <w:tcPr>
            <w:tcW w:w="1268" w:type="dxa"/>
          </w:tcPr>
          <w:p w:rsidR="00537AF0" w:rsidRDefault="00537AF0" w:rsidP="00537AF0">
            <w:pPr>
              <w:rPr>
                <w:rFonts w:cstheme="minorHAnsi"/>
              </w:rPr>
            </w:pPr>
          </w:p>
          <w:p w:rsidR="00537AF0" w:rsidRPr="006D2B2F" w:rsidRDefault="00537AF0" w:rsidP="00537AF0">
            <w:pPr>
              <w:rPr>
                <w:rFonts w:cstheme="minorHAnsi"/>
              </w:rPr>
            </w:pPr>
            <w:r>
              <w:rPr>
                <w:rFonts w:cstheme="minorHAnsi"/>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4D6F12">
              <w:rPr>
                <w:rFonts w:eastAsia="Times New Roman" w:cstheme="minorHAnsi"/>
                <w:b/>
                <w:kern w:val="24"/>
              </w:rPr>
              <w:t>Modifies.</w:t>
            </w:r>
            <w:r>
              <w:rPr>
                <w:rFonts w:eastAsia="Times New Roman" w:cstheme="minorHAnsi"/>
                <w:kern w:val="24"/>
              </w:rPr>
              <w:t xml:space="preserve"> </w:t>
            </w:r>
            <w:r w:rsidRPr="006D2B2F">
              <w:rPr>
                <w:rFonts w:eastAsia="Times New Roman" w:cstheme="minorHAnsi"/>
                <w:kern w:val="24"/>
              </w:rPr>
              <w:t>Increased to $1,600/child – phased out at higher income than current law.  But many low- and moderate-income children would see only a token benefit.  That’s because the proposal does not expand the credit meaningfully for families that receive the refundable portion of the CTC because their earnings are too low to owe federal income taxes.</w:t>
            </w:r>
            <w:r>
              <w:rPr>
                <w:rFonts w:eastAsia="Times New Roman" w:cstheme="minorHAnsi"/>
                <w:kern w:val="24"/>
              </w:rPr>
              <w:t xml:space="preserve"> Learn more from </w:t>
            </w:r>
            <w:hyperlink r:id="rId11" w:history="1">
              <w:r w:rsidRPr="00CF3D78">
                <w:rPr>
                  <w:rStyle w:val="Hyperlink"/>
                  <w:rFonts w:eastAsia="Times New Roman" w:cstheme="minorHAnsi"/>
                  <w:kern w:val="24"/>
                </w:rPr>
                <w:t>CBPP</w:t>
              </w:r>
            </w:hyperlink>
            <w:r>
              <w:rPr>
                <w:rFonts w:eastAsia="Times New Roman" w:cstheme="minorHAnsi"/>
                <w:kern w:val="24"/>
              </w:rPr>
              <w:t>.</w:t>
            </w:r>
          </w:p>
        </w:tc>
        <w:tc>
          <w:tcPr>
            <w:tcW w:w="4950" w:type="dxa"/>
          </w:tcPr>
          <w:p w:rsidR="00537AF0" w:rsidRPr="006D2B2F" w:rsidRDefault="00537AF0" w:rsidP="00537AF0">
            <w:pPr>
              <w:rPr>
                <w:rFonts w:cstheme="minorHAnsi"/>
              </w:rPr>
            </w:pPr>
            <w:r w:rsidRPr="004D6F12">
              <w:rPr>
                <w:rFonts w:cstheme="minorHAnsi"/>
                <w:b/>
              </w:rPr>
              <w:t>Modifies</w:t>
            </w:r>
            <w:r>
              <w:rPr>
                <w:rFonts w:cstheme="minorHAnsi"/>
              </w:rPr>
              <w:t xml:space="preserve">. </w:t>
            </w:r>
            <w:r w:rsidRPr="006D2B2F">
              <w:rPr>
                <w:rFonts w:cstheme="minorHAnsi"/>
              </w:rPr>
              <w:t xml:space="preserve">Raises the maximum credit from $1,000 </w:t>
            </w:r>
            <w:r>
              <w:rPr>
                <w:rFonts w:cstheme="minorHAnsi"/>
              </w:rPr>
              <w:t>to $2,000</w:t>
            </w:r>
            <w:r w:rsidRPr="006D2B2F">
              <w:rPr>
                <w:rFonts w:cstheme="minorHAnsi"/>
              </w:rPr>
              <w:t xml:space="preserve"> per child (versus $1,600 in the House plan) and extend the credit to 17-year-olds, who are now ineligible.  But many low- and moderate-income children would see only a token benefit.  That’s because the proposal does not expand the credit meaningfully for families that receive the refundable portion of the CTC because their earnings are too low to owe federal income taxes.</w:t>
            </w:r>
            <w:r>
              <w:rPr>
                <w:rFonts w:cstheme="minorHAnsi"/>
              </w:rPr>
              <w:t xml:space="preserve"> Learn more from </w:t>
            </w:r>
            <w:hyperlink r:id="rId12" w:history="1">
              <w:r w:rsidRPr="00D44944">
                <w:rPr>
                  <w:rStyle w:val="Hyperlink"/>
                  <w:rFonts w:cstheme="minorHAnsi"/>
                </w:rPr>
                <w:t>CBPP</w:t>
              </w:r>
            </w:hyperlink>
            <w:r>
              <w:rPr>
                <w:rFonts w:cstheme="minorHAnsi"/>
              </w:rPr>
              <w:t>.</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Earned Income Tax Credit (EITC)</w:t>
            </w:r>
          </w:p>
        </w:tc>
        <w:tc>
          <w:tcPr>
            <w:tcW w:w="1268" w:type="dxa"/>
          </w:tcPr>
          <w:p w:rsidR="00537AF0" w:rsidRPr="006D2B2F" w:rsidRDefault="00537AF0" w:rsidP="00537AF0">
            <w:pPr>
              <w:rPr>
                <w:rFonts w:cstheme="minorHAnsi"/>
              </w:rPr>
            </w:pPr>
            <w:r>
              <w:rPr>
                <w:rFonts w:cstheme="minorHAnsi"/>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1B73A9">
              <w:rPr>
                <w:rFonts w:eastAsia="Times New Roman" w:cstheme="minorHAnsi"/>
                <w:b/>
                <w:kern w:val="24"/>
              </w:rPr>
              <w:t>Modifies</w:t>
            </w:r>
            <w:r>
              <w:rPr>
                <w:rFonts w:eastAsia="Times New Roman" w:cstheme="minorHAnsi"/>
                <w:kern w:val="24"/>
              </w:rPr>
              <w:t xml:space="preserve">. </w:t>
            </w:r>
            <w:r w:rsidRPr="006D2B2F">
              <w:rPr>
                <w:rFonts w:eastAsia="Times New Roman" w:cstheme="minorHAnsi"/>
                <w:kern w:val="24"/>
              </w:rPr>
              <w:t>Adds integrity measures (places onerous burdens on small business)</w:t>
            </w:r>
            <w:r>
              <w:rPr>
                <w:rFonts w:eastAsia="Times New Roman" w:cstheme="minorHAnsi"/>
                <w:kern w:val="24"/>
              </w:rPr>
              <w:t xml:space="preserve">.  Learn more from </w:t>
            </w:r>
            <w:hyperlink r:id="rId13" w:history="1">
              <w:r w:rsidRPr="0023350E">
                <w:rPr>
                  <w:rStyle w:val="Hyperlink"/>
                  <w:rFonts w:eastAsia="Times New Roman" w:cstheme="minorHAnsi"/>
                  <w:kern w:val="24"/>
                </w:rPr>
                <w:t>CBPP</w:t>
              </w:r>
            </w:hyperlink>
            <w:r>
              <w:rPr>
                <w:rFonts w:eastAsia="Times New Roman" w:cstheme="minorHAnsi"/>
                <w:kern w:val="24"/>
              </w:rPr>
              <w:t>.</w:t>
            </w:r>
          </w:p>
        </w:tc>
        <w:tc>
          <w:tcPr>
            <w:tcW w:w="4950" w:type="dxa"/>
          </w:tcPr>
          <w:p w:rsidR="00537AF0" w:rsidRPr="006D2B2F" w:rsidRDefault="00537AF0" w:rsidP="00537AF0">
            <w:pPr>
              <w:rPr>
                <w:rFonts w:cstheme="minorHAnsi"/>
              </w:rPr>
            </w:pPr>
            <w:r>
              <w:rPr>
                <w:rFonts w:cstheme="minorHAnsi"/>
              </w:rPr>
              <w:t>Summary in process</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rPr>
            </w:pPr>
            <w:r w:rsidRPr="006D2B2F">
              <w:rPr>
                <w:rFonts w:eastAsia="Times New Roman" w:cstheme="minorHAnsi"/>
              </w:rPr>
              <w:t>Orphan drugs credit</w:t>
            </w:r>
            <w:r>
              <w:rPr>
                <w:rFonts w:eastAsia="Times New Roman" w:cstheme="minorHAnsi"/>
              </w:rPr>
              <w:t xml:space="preserve"> -</w:t>
            </w:r>
            <w:r>
              <w:t xml:space="preserve"> </w:t>
            </w:r>
          </w:p>
        </w:tc>
        <w:tc>
          <w:tcPr>
            <w:tcW w:w="1268" w:type="dxa"/>
          </w:tcPr>
          <w:p w:rsidR="00537AF0" w:rsidRPr="006D2B2F" w:rsidRDefault="00537AF0" w:rsidP="00537AF0">
            <w:pPr>
              <w:rPr>
                <w:rFonts w:cstheme="minorHAnsi"/>
              </w:rPr>
            </w:pPr>
            <w:r>
              <w:rPr>
                <w:rFonts w:cstheme="minorHAnsi"/>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4D6F12">
              <w:rPr>
                <w:rFonts w:eastAsia="Times New Roman" w:cstheme="minorHAnsi"/>
                <w:b/>
                <w:kern w:val="24"/>
              </w:rPr>
              <w:t>Repeals</w:t>
            </w:r>
            <w:r w:rsidRPr="006D2B2F">
              <w:rPr>
                <w:rFonts w:eastAsia="Times New Roman" w:cstheme="minorHAnsi"/>
                <w:kern w:val="24"/>
              </w:rPr>
              <w:t xml:space="preserve">. </w:t>
            </w:r>
            <w:r>
              <w:rPr>
                <w:rFonts w:eastAsia="Times New Roman" w:cstheme="minorHAnsi"/>
                <w:kern w:val="24"/>
              </w:rPr>
              <w:t xml:space="preserve">Businesses can receive this credit </w:t>
            </w:r>
            <w:r w:rsidRPr="006D2B2F">
              <w:rPr>
                <w:rFonts w:eastAsia="Times New Roman" w:cstheme="minorHAnsi"/>
                <w:kern w:val="24"/>
              </w:rPr>
              <w:t xml:space="preserve"> </w:t>
            </w:r>
            <w:r w:rsidRPr="00A96AFF">
              <w:rPr>
                <w:rFonts w:eastAsia="Times New Roman" w:cstheme="minorHAnsi"/>
                <w:kern w:val="24"/>
              </w:rPr>
              <w:t xml:space="preserve">for clinical testing expenses for certain drugs for rare diseases or conditions </w:t>
            </w:r>
            <w:r w:rsidRPr="006D2B2F">
              <w:rPr>
                <w:rFonts w:eastAsia="Times New Roman" w:cstheme="minorHAnsi"/>
                <w:kern w:val="24"/>
              </w:rPr>
              <w:t>An independent study</w:t>
            </w:r>
            <w:r>
              <w:rPr>
                <w:rFonts w:eastAsia="Times New Roman" w:cstheme="minorHAnsi"/>
                <w:kern w:val="24"/>
              </w:rPr>
              <w:t xml:space="preserve"> </w:t>
            </w:r>
            <w:r w:rsidRPr="006D2B2F">
              <w:rPr>
                <w:rFonts w:eastAsia="Times New Roman" w:cstheme="minorHAnsi"/>
                <w:kern w:val="24"/>
              </w:rPr>
              <w:t>conducted in 2015 estimated that if the orphan drug credit were repealed one-third fewer drugs</w:t>
            </w:r>
            <w:r>
              <w:rPr>
                <w:rFonts w:eastAsia="Times New Roman" w:cstheme="minorHAnsi"/>
                <w:kern w:val="24"/>
              </w:rPr>
              <w:t xml:space="preserve"> </w:t>
            </w:r>
            <w:r w:rsidRPr="006D2B2F">
              <w:rPr>
                <w:rFonts w:eastAsia="Times New Roman" w:cstheme="minorHAnsi"/>
                <w:kern w:val="24"/>
              </w:rPr>
              <w:t>addressing rare diseases would be developed in the future.</w:t>
            </w:r>
          </w:p>
        </w:tc>
        <w:tc>
          <w:tcPr>
            <w:tcW w:w="4950" w:type="dxa"/>
          </w:tcPr>
          <w:p w:rsidR="00537AF0" w:rsidRPr="006D2B2F" w:rsidRDefault="00537AF0" w:rsidP="00537AF0">
            <w:pPr>
              <w:rPr>
                <w:rFonts w:cstheme="minorHAnsi"/>
              </w:rPr>
            </w:pPr>
            <w:r w:rsidRPr="004D6F12">
              <w:rPr>
                <w:rFonts w:cstheme="minorHAnsi"/>
                <w:b/>
              </w:rPr>
              <w:t>Limits</w:t>
            </w:r>
            <w:r>
              <w:rPr>
                <w:rFonts w:cstheme="minorHAnsi"/>
              </w:rPr>
              <w:t xml:space="preserve">.  </w:t>
            </w:r>
            <w:r w:rsidRPr="00BE251F">
              <w:rPr>
                <w:rFonts w:cstheme="minorHAnsi"/>
              </w:rPr>
              <w:t>Limit</w:t>
            </w:r>
            <w:r>
              <w:rPr>
                <w:rFonts w:cstheme="minorHAnsi"/>
              </w:rPr>
              <w:t>ed</w:t>
            </w:r>
            <w:r w:rsidRPr="00BE251F">
              <w:rPr>
                <w:rFonts w:cstheme="minorHAnsi"/>
              </w:rPr>
              <w:t xml:space="preserve"> to 50 percent of expenses in excess of 50 percent of average testing expenses in the prior three years; the credit is limited to 25 percent if there were no qualified expenses in at least one of those years. Under the manager's amendment, the 25 percent limit is INCREASED to 27.5 percent, and the qualified expense limitation would not apply to drugs ultimately approved by the Food and Drug Administration. </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Educations Saving Account</w:t>
            </w:r>
          </w:p>
        </w:tc>
        <w:tc>
          <w:tcPr>
            <w:tcW w:w="1268" w:type="dxa"/>
          </w:tcPr>
          <w:p w:rsidR="00537AF0" w:rsidRPr="006D2B2F" w:rsidRDefault="00537AF0" w:rsidP="00537AF0">
            <w:pPr>
              <w:rPr>
                <w:rFonts w:cstheme="minorHAnsi"/>
              </w:rPr>
            </w:pPr>
            <w:r>
              <w:rPr>
                <w:rFonts w:cstheme="minorHAnsi"/>
              </w:rPr>
              <w:t>--</w:t>
            </w:r>
          </w:p>
        </w:tc>
        <w:tc>
          <w:tcPr>
            <w:tcW w:w="4590" w:type="dxa"/>
          </w:tcPr>
          <w:p w:rsidR="00537AF0" w:rsidRPr="006D2B2F" w:rsidRDefault="00537AF0" w:rsidP="00537AF0">
            <w:pPr>
              <w:rPr>
                <w:rFonts w:cstheme="minorHAnsi"/>
              </w:rPr>
            </w:pPr>
            <w:r w:rsidRPr="00A36024">
              <w:rPr>
                <w:rFonts w:cstheme="minorHAnsi"/>
                <w:b/>
              </w:rPr>
              <w:t>Repeals</w:t>
            </w:r>
            <w:r w:rsidRPr="006D2B2F">
              <w:rPr>
                <w:rFonts w:cstheme="minorHAnsi"/>
              </w:rPr>
              <w:t xml:space="preserve"> </w:t>
            </w:r>
            <w:r w:rsidRPr="00612428">
              <w:rPr>
                <w:rFonts w:cstheme="minorHAnsi"/>
              </w:rPr>
              <w:t>Coverdell Education Savings Accounts — income restricted tax-free accounts that allow families to set aside up to $2,000 to cover K-12 costs. At the same time, the bill would expand 529 college savings accounts (which are open to everyone) to cover K-12 expenses of up to $10,000 per year at public,</w:t>
            </w:r>
            <w:r>
              <w:rPr>
                <w:rFonts w:cstheme="minorHAnsi"/>
              </w:rPr>
              <w:t xml:space="preserve"> private and religious schools.  This </w:t>
            </w:r>
            <w:r w:rsidRPr="00612428">
              <w:rPr>
                <w:rFonts w:cstheme="minorHAnsi"/>
              </w:rPr>
              <w:t>would effectively incentivize wealthy Americans to pu</w:t>
            </w:r>
            <w:r>
              <w:rPr>
                <w:rFonts w:cstheme="minorHAnsi"/>
              </w:rPr>
              <w:t>t away money for private schools, which are not subject to the Individuals with Disabilities Education Act (IDEA) and further limit</w:t>
            </w:r>
            <w:r w:rsidRPr="00612428">
              <w:rPr>
                <w:rFonts w:cstheme="minorHAnsi"/>
              </w:rPr>
              <w:t xml:space="preserve"> the </w:t>
            </w:r>
            <w:r>
              <w:rPr>
                <w:rFonts w:cstheme="minorHAnsi"/>
              </w:rPr>
              <w:t>general revenue funds that support</w:t>
            </w:r>
            <w:r w:rsidRPr="00612428">
              <w:rPr>
                <w:rFonts w:cstheme="minorHAnsi"/>
              </w:rPr>
              <w:t xml:space="preserve"> </w:t>
            </w:r>
            <w:r>
              <w:rPr>
                <w:rFonts w:cstheme="minorHAnsi"/>
              </w:rPr>
              <w:t>public school programs.</w:t>
            </w:r>
          </w:p>
        </w:tc>
        <w:tc>
          <w:tcPr>
            <w:tcW w:w="4950" w:type="dxa"/>
          </w:tcPr>
          <w:p w:rsidR="00537AF0" w:rsidRPr="006D2B2F" w:rsidRDefault="00537AF0" w:rsidP="00537AF0">
            <w:pPr>
              <w:rPr>
                <w:rFonts w:cstheme="minorHAnsi"/>
              </w:rPr>
            </w:pPr>
            <w:r>
              <w:rPr>
                <w:rFonts w:cstheme="minorHAnsi"/>
              </w:rPr>
              <w:t>--</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Education Voucher Amendment</w:t>
            </w:r>
          </w:p>
        </w:tc>
        <w:tc>
          <w:tcPr>
            <w:tcW w:w="1268" w:type="dxa"/>
          </w:tcPr>
          <w:p w:rsidR="00537AF0" w:rsidRPr="006D2B2F" w:rsidRDefault="00537AF0" w:rsidP="00537AF0">
            <w:pPr>
              <w:rPr>
                <w:rFonts w:cstheme="minorHAnsi"/>
              </w:rPr>
            </w:pPr>
            <w:r>
              <w:rPr>
                <w:rFonts w:cstheme="minorHAnsi"/>
              </w:rPr>
              <w:t>--</w:t>
            </w:r>
          </w:p>
        </w:tc>
        <w:tc>
          <w:tcPr>
            <w:tcW w:w="4590" w:type="dxa"/>
          </w:tcPr>
          <w:p w:rsidR="00537AF0" w:rsidRPr="006D2B2F" w:rsidRDefault="00537AF0" w:rsidP="00537AF0">
            <w:pPr>
              <w:rPr>
                <w:rFonts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4D6F12">
              <w:rPr>
                <w:rFonts w:eastAsia="Times New Roman" w:cstheme="minorHAnsi"/>
                <w:b/>
                <w:kern w:val="24"/>
              </w:rPr>
              <w:t>Failed in committee</w:t>
            </w:r>
            <w:r>
              <w:rPr>
                <w:rFonts w:eastAsia="Times New Roman" w:cstheme="minorHAnsi"/>
                <w:kern w:val="24"/>
              </w:rPr>
              <w:t xml:space="preserve">.  </w:t>
            </w:r>
            <w:r w:rsidRPr="004D6F12">
              <w:rPr>
                <w:rFonts w:eastAsia="Times New Roman" w:cstheme="minorHAnsi"/>
                <w:strike/>
                <w:kern w:val="24"/>
              </w:rPr>
              <w:t>Hatch (Amendment #4) allows parents who already send their child to private religious schools to deduct 25% of the cost of their tuition</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6D2B2F">
              <w:rPr>
                <w:rFonts w:eastAsia="Times New Roman" w:cstheme="minorHAnsi"/>
                <w:kern w:val="24"/>
              </w:rPr>
              <w:t>Education Voucher Amendment</w:t>
            </w:r>
          </w:p>
        </w:tc>
        <w:tc>
          <w:tcPr>
            <w:tcW w:w="1268" w:type="dxa"/>
          </w:tcPr>
          <w:p w:rsidR="00537AF0" w:rsidRPr="006D2B2F" w:rsidRDefault="00537AF0" w:rsidP="00537AF0">
            <w:pPr>
              <w:rPr>
                <w:rFonts w:cstheme="minorHAnsi"/>
              </w:rPr>
            </w:pPr>
            <w:r>
              <w:rPr>
                <w:rFonts w:cstheme="minorHAnsi"/>
              </w:rPr>
              <w:t>--</w:t>
            </w:r>
          </w:p>
        </w:tc>
        <w:tc>
          <w:tcPr>
            <w:tcW w:w="4590" w:type="dxa"/>
          </w:tcPr>
          <w:p w:rsidR="00537AF0" w:rsidRPr="006D2B2F" w:rsidRDefault="00537AF0" w:rsidP="00537AF0">
            <w:pPr>
              <w:rPr>
                <w:rFonts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sidRPr="004D6F12">
              <w:rPr>
                <w:rFonts w:eastAsia="Times New Roman" w:cstheme="minorHAnsi"/>
                <w:b/>
                <w:kern w:val="24"/>
              </w:rPr>
              <w:t>Failed in committee.</w:t>
            </w:r>
            <w:r>
              <w:rPr>
                <w:rFonts w:eastAsia="Times New Roman" w:cstheme="minorHAnsi"/>
                <w:kern w:val="24"/>
              </w:rPr>
              <w:t xml:space="preserve"> </w:t>
            </w:r>
            <w:r w:rsidRPr="004D6F12">
              <w:rPr>
                <w:rFonts w:eastAsia="Times New Roman" w:cstheme="minorHAnsi"/>
                <w:strike/>
                <w:kern w:val="24"/>
              </w:rPr>
              <w:t>Scott (Amendment #3) creates a K12 tuition tax credit.  applies to both individuals and corporations, limited to middle and low-income families.</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537AF0" w:rsidP="00537AF0">
            <w:pPr>
              <w:rPr>
                <w:rFonts w:eastAsia="Times New Roman" w:cstheme="minorHAnsi"/>
                <w:kern w:val="24"/>
              </w:rPr>
            </w:pPr>
            <w:r>
              <w:rPr>
                <w:rFonts w:eastAsia="Times New Roman" w:cstheme="minorHAnsi"/>
                <w:kern w:val="24"/>
              </w:rPr>
              <w:t>Paid leave tax credit</w:t>
            </w:r>
          </w:p>
        </w:tc>
        <w:tc>
          <w:tcPr>
            <w:tcW w:w="1268" w:type="dxa"/>
          </w:tcPr>
          <w:p w:rsidR="00537AF0" w:rsidRPr="006D2B2F" w:rsidRDefault="00537AF0" w:rsidP="00537AF0">
            <w:pPr>
              <w:rPr>
                <w:rFonts w:cstheme="minorHAnsi"/>
              </w:rPr>
            </w:pPr>
            <w:r>
              <w:rPr>
                <w:rFonts w:cstheme="minorHAnsi"/>
              </w:rPr>
              <w:t>--</w:t>
            </w:r>
          </w:p>
        </w:tc>
        <w:tc>
          <w:tcPr>
            <w:tcW w:w="4590" w:type="dxa"/>
          </w:tcPr>
          <w:p w:rsidR="00537AF0" w:rsidRPr="006D2B2F" w:rsidRDefault="00537AF0" w:rsidP="00537AF0">
            <w:pPr>
              <w:rPr>
                <w:rFonts w:cstheme="minorHAnsi"/>
              </w:rPr>
            </w:pPr>
          </w:p>
        </w:tc>
        <w:tc>
          <w:tcPr>
            <w:tcW w:w="4950" w:type="dxa"/>
          </w:tcPr>
          <w:p w:rsidR="00537AF0" w:rsidRPr="00B8137E" w:rsidRDefault="00537AF0" w:rsidP="00537AF0">
            <w:pPr>
              <w:pStyle w:val="NormalWeb"/>
              <w:spacing w:before="0" w:beforeAutospacing="0" w:after="0" w:afterAutospacing="0"/>
              <w:rPr>
                <w:rFonts w:asciiTheme="minorHAnsi" w:hAnsiTheme="minorHAnsi" w:cstheme="minorHAnsi"/>
              </w:rPr>
            </w:pPr>
            <w:r>
              <w:rPr>
                <w:rFonts w:asciiTheme="minorHAnsi" w:hAnsiTheme="minorHAnsi" w:cstheme="minorHAnsi"/>
                <w:b/>
              </w:rPr>
              <w:t xml:space="preserve">Passed in </w:t>
            </w:r>
            <w:r w:rsidRPr="004D6F12">
              <w:rPr>
                <w:rFonts w:asciiTheme="minorHAnsi" w:hAnsiTheme="minorHAnsi" w:cstheme="minorHAnsi"/>
                <w:b/>
              </w:rPr>
              <w:t>Committee</w:t>
            </w:r>
            <w:r>
              <w:rPr>
                <w:rFonts w:asciiTheme="minorHAnsi" w:hAnsiTheme="minorHAnsi" w:cstheme="minorHAnsi"/>
              </w:rPr>
              <w:t xml:space="preserve">. Chairman's modifications add </w:t>
            </w:r>
            <w:r w:rsidRPr="00104722">
              <w:rPr>
                <w:rFonts w:asciiTheme="minorHAnsi" w:hAnsiTheme="minorHAnsi" w:cstheme="minorHAnsi"/>
              </w:rPr>
              <w:t>a two-year employer tax credit for paid family and medical leave expenses, equal to 12.5 percent of wages if rate of payment is at least 50 percent of regular wages; credit increases by 0.25 percentage points for each 1 percentage point increase in wages.</w:t>
            </w:r>
            <w:r>
              <w:rPr>
                <w:rFonts w:asciiTheme="minorHAnsi" w:hAnsiTheme="minorHAnsi" w:cstheme="minorHAnsi"/>
              </w:rPr>
              <w:t xml:space="preserve">  Based on Fischer Paid Leave T</w:t>
            </w:r>
            <w:r w:rsidRPr="00EF38D7">
              <w:rPr>
                <w:rFonts w:asciiTheme="minorHAnsi" w:hAnsiTheme="minorHAnsi" w:cstheme="minorHAnsi"/>
              </w:rPr>
              <w:t xml:space="preserve">ax credit bill (S. 1716) on p. 42. Tax credits are likely to only subsidize companies that already offer paid leave or that would have chosen to offer new or expanded paid leave benefits without a tax credit. This means that the current inequalities between higher- and lower-wage workers would not close as a result of this proposal. See </w:t>
            </w:r>
            <w:hyperlink r:id="rId14" w:anchor="_blank" w:history="1">
              <w:r w:rsidRPr="00183A53">
                <w:rPr>
                  <w:rStyle w:val="Hyperlink"/>
                  <w:rFonts w:asciiTheme="minorHAnsi" w:hAnsiTheme="minorHAnsi" w:cstheme="minorHAnsi"/>
                </w:rPr>
                <w:t>fact sheet</w:t>
              </w:r>
            </w:hyperlink>
            <w:r w:rsidRPr="00183A53">
              <w:rPr>
                <w:rFonts w:asciiTheme="minorHAnsi" w:hAnsiTheme="minorHAnsi" w:cstheme="minorHAnsi"/>
              </w:rPr>
              <w:t> </w:t>
            </w:r>
            <w:r>
              <w:rPr>
                <w:rFonts w:asciiTheme="minorHAnsi" w:hAnsiTheme="minorHAnsi" w:cstheme="minorHAnsi"/>
              </w:rPr>
              <w:t xml:space="preserve"> and</w:t>
            </w:r>
            <w:r w:rsidRPr="00183A53">
              <w:rPr>
                <w:rFonts w:asciiTheme="minorHAnsi" w:hAnsiTheme="minorHAnsi" w:cstheme="minorHAnsi"/>
              </w:rPr>
              <w:t xml:space="preserve"> </w:t>
            </w:r>
            <w:hyperlink r:id="rId15" w:anchor="_blank" w:history="1">
              <w:r w:rsidRPr="00EF38D7">
                <w:rPr>
                  <w:rStyle w:val="Hyperlink"/>
                  <w:rFonts w:asciiTheme="minorHAnsi" w:hAnsiTheme="minorHAnsi" w:cstheme="minorHAnsi"/>
                  <w:i/>
                  <w:iCs/>
                  <w:color w:val="0068A5"/>
                </w:rPr>
                <w:t>Tax Reform is No Place for Paid Leave,</w:t>
              </w:r>
            </w:hyperlink>
            <w:r w:rsidRPr="00EF38D7">
              <w:rPr>
                <w:rFonts w:asciiTheme="minorHAnsi" w:hAnsiTheme="minorHAnsi" w:cstheme="minorHAnsi"/>
                <w:color w:val="555555"/>
              </w:rPr>
              <w:t> </w:t>
            </w:r>
            <w:r>
              <w:rPr>
                <w:rFonts w:asciiTheme="minorHAnsi" w:hAnsiTheme="minorHAnsi" w:cstheme="minorHAnsi"/>
              </w:rPr>
              <w:t>for more information</w:t>
            </w:r>
            <w:r w:rsidRPr="00EF38D7">
              <w:rPr>
                <w:rFonts w:asciiTheme="minorHAnsi" w:hAnsiTheme="minorHAnsi" w:cstheme="minorHAnsi"/>
              </w:rPr>
              <w:t xml:space="preserve">. </w:t>
            </w:r>
          </w:p>
        </w:tc>
      </w:tr>
      <w:tr w:rsidR="00537AF0" w:rsidTr="00C17CD5">
        <w:tc>
          <w:tcPr>
            <w:tcW w:w="2777" w:type="dxa"/>
            <w:tcBorders>
              <w:top w:val="single" w:sz="4" w:space="0" w:color="auto"/>
              <w:left w:val="single" w:sz="4" w:space="0" w:color="auto"/>
              <w:bottom w:val="single" w:sz="4" w:space="0" w:color="auto"/>
              <w:right w:val="single" w:sz="4" w:space="0" w:color="auto"/>
            </w:tcBorders>
            <w:shd w:val="clear" w:color="auto" w:fill="auto"/>
          </w:tcPr>
          <w:p w:rsidR="00537AF0" w:rsidRPr="006D2B2F" w:rsidRDefault="00202098" w:rsidP="00537AF0">
            <w:pPr>
              <w:rPr>
                <w:rFonts w:eastAsia="Times New Roman" w:cstheme="minorHAnsi"/>
              </w:rPr>
            </w:pPr>
            <w:r>
              <w:rPr>
                <w:rFonts w:eastAsia="Times New Roman" w:cstheme="minorHAnsi"/>
              </w:rPr>
              <w:t>Johnson Amendment</w:t>
            </w:r>
          </w:p>
        </w:tc>
        <w:tc>
          <w:tcPr>
            <w:tcW w:w="1268" w:type="dxa"/>
          </w:tcPr>
          <w:p w:rsidR="00537AF0" w:rsidRPr="006D2B2F" w:rsidRDefault="000D119C" w:rsidP="00537AF0">
            <w:pPr>
              <w:jc w:val="center"/>
              <w:rPr>
                <w:rFonts w:eastAsia="Times New Roman" w:cstheme="minorHAnsi"/>
              </w:rPr>
            </w:pPr>
            <w:r>
              <w:rPr>
                <w:rFonts w:eastAsia="Times New Roman" w:cstheme="minorHAnsi"/>
              </w:rPr>
              <w:t>---</w:t>
            </w:r>
          </w:p>
        </w:tc>
        <w:tc>
          <w:tcPr>
            <w:tcW w:w="4590" w:type="dxa"/>
          </w:tcPr>
          <w:p w:rsidR="00537AF0" w:rsidRPr="006D2B2F" w:rsidRDefault="00826B90" w:rsidP="00537AF0">
            <w:pPr>
              <w:rPr>
                <w:rFonts w:eastAsia="Times New Roman" w:cstheme="minorHAnsi"/>
              </w:rPr>
            </w:pPr>
            <w:r w:rsidRPr="00826B90">
              <w:rPr>
                <w:rFonts w:eastAsia="Times New Roman" w:cstheme="minorHAnsi"/>
                <w:b/>
              </w:rPr>
              <w:t>Repealed</w:t>
            </w:r>
            <w:r w:rsidRPr="00826B90">
              <w:rPr>
                <w:rFonts w:eastAsia="Times New Roman" w:cstheme="minorHAnsi"/>
              </w:rPr>
              <w:t>.  The Johnson Amendment forbids non-profit charities, including churches, from endorsing political candidates. The Joint Committee on Taxation estimates repeal could cost 2.1 billion over 10 years because some political donors would shift their money to tax-exempt charities.</w:t>
            </w:r>
            <w:r w:rsidR="00A30B19">
              <w:rPr>
                <w:rFonts w:eastAsia="Times New Roman" w:cstheme="minorHAnsi"/>
              </w:rPr>
              <w:t xml:space="preserve"> </w:t>
            </w:r>
            <w:bookmarkStart w:id="0" w:name="_GoBack"/>
            <w:bookmarkEnd w:id="0"/>
            <w:r w:rsidR="000D119C">
              <w:rPr>
                <w:rFonts w:eastAsia="Times New Roman" w:cstheme="minorHAnsi"/>
              </w:rPr>
              <w:t xml:space="preserve">Learn more from the </w:t>
            </w:r>
            <w:hyperlink r:id="rId16" w:history="1">
              <w:r w:rsidR="000D119C" w:rsidRPr="000D119C">
                <w:rPr>
                  <w:rStyle w:val="Hyperlink"/>
                  <w:rFonts w:eastAsia="Times New Roman" w:cstheme="minorHAnsi"/>
                </w:rPr>
                <w:t>Washington Post</w:t>
              </w:r>
            </w:hyperlink>
            <w:r w:rsidR="000D119C">
              <w:rPr>
                <w:rFonts w:eastAsia="Times New Roman" w:cstheme="minorHAnsi"/>
              </w:rPr>
              <w:t>.</w:t>
            </w:r>
          </w:p>
        </w:tc>
        <w:tc>
          <w:tcPr>
            <w:tcW w:w="4950" w:type="dxa"/>
          </w:tcPr>
          <w:p w:rsidR="00537AF0" w:rsidRPr="006D2B2F" w:rsidRDefault="00537AF0" w:rsidP="00537AF0">
            <w:pPr>
              <w:rPr>
                <w:rFonts w:eastAsia="Times New Roman" w:cstheme="minorHAnsi"/>
              </w:rPr>
            </w:pPr>
          </w:p>
        </w:tc>
      </w:tr>
    </w:tbl>
    <w:p w:rsidR="00BA08C3" w:rsidRDefault="00BA08C3"/>
    <w:sectPr w:rsidR="00BA08C3" w:rsidSect="00766EFA">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70" w:rsidRDefault="009E7E70" w:rsidP="00881144">
      <w:pPr>
        <w:spacing w:after="0" w:line="240" w:lineRule="auto"/>
      </w:pPr>
      <w:r>
        <w:separator/>
      </w:r>
    </w:p>
  </w:endnote>
  <w:endnote w:type="continuationSeparator" w:id="0">
    <w:p w:rsidR="009E7E70" w:rsidRDefault="009E7E70" w:rsidP="0088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7198"/>
      <w:docPartObj>
        <w:docPartGallery w:val="Page Numbers (Bottom of Page)"/>
        <w:docPartUnique/>
      </w:docPartObj>
    </w:sdtPr>
    <w:sdtEndPr>
      <w:rPr>
        <w:noProof/>
      </w:rPr>
    </w:sdtEndPr>
    <w:sdtContent>
      <w:p w:rsidR="00881144" w:rsidRDefault="00881144">
        <w:pPr>
          <w:pStyle w:val="Footer"/>
          <w:jc w:val="right"/>
        </w:pPr>
        <w:r>
          <w:fldChar w:fldCharType="begin"/>
        </w:r>
        <w:r>
          <w:instrText xml:space="preserve"> PAGE   \* MERGEFORMAT </w:instrText>
        </w:r>
        <w:r>
          <w:fldChar w:fldCharType="separate"/>
        </w:r>
        <w:r w:rsidR="00334B44">
          <w:rPr>
            <w:noProof/>
          </w:rPr>
          <w:t>3</w:t>
        </w:r>
        <w:r>
          <w:rPr>
            <w:noProof/>
          </w:rPr>
          <w:fldChar w:fldCharType="end"/>
        </w:r>
      </w:p>
    </w:sdtContent>
  </w:sdt>
  <w:p w:rsidR="00881144" w:rsidRDefault="0088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70" w:rsidRDefault="009E7E70" w:rsidP="00881144">
      <w:pPr>
        <w:spacing w:after="0" w:line="240" w:lineRule="auto"/>
      </w:pPr>
      <w:r>
        <w:separator/>
      </w:r>
    </w:p>
  </w:footnote>
  <w:footnote w:type="continuationSeparator" w:id="0">
    <w:p w:rsidR="009E7E70" w:rsidRDefault="009E7E70" w:rsidP="00881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00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5D"/>
    <w:rsid w:val="00000F63"/>
    <w:rsid w:val="000022C8"/>
    <w:rsid w:val="00003545"/>
    <w:rsid w:val="0007051F"/>
    <w:rsid w:val="000A5AA7"/>
    <w:rsid w:val="000D0A96"/>
    <w:rsid w:val="000D119C"/>
    <w:rsid w:val="000F1644"/>
    <w:rsid w:val="00104722"/>
    <w:rsid w:val="001431CA"/>
    <w:rsid w:val="00145B00"/>
    <w:rsid w:val="00164115"/>
    <w:rsid w:val="00183A53"/>
    <w:rsid w:val="001B73A9"/>
    <w:rsid w:val="001C1C40"/>
    <w:rsid w:val="001E4990"/>
    <w:rsid w:val="00202098"/>
    <w:rsid w:val="0022272D"/>
    <w:rsid w:val="0023350E"/>
    <w:rsid w:val="0029732D"/>
    <w:rsid w:val="00334B44"/>
    <w:rsid w:val="003978E7"/>
    <w:rsid w:val="003E7F63"/>
    <w:rsid w:val="00463CCE"/>
    <w:rsid w:val="00474B80"/>
    <w:rsid w:val="004757CB"/>
    <w:rsid w:val="00485F50"/>
    <w:rsid w:val="004B4D54"/>
    <w:rsid w:val="004D6F12"/>
    <w:rsid w:val="00510CCE"/>
    <w:rsid w:val="00537AF0"/>
    <w:rsid w:val="005464FF"/>
    <w:rsid w:val="00547449"/>
    <w:rsid w:val="0055400E"/>
    <w:rsid w:val="00566613"/>
    <w:rsid w:val="005E0F5C"/>
    <w:rsid w:val="00612428"/>
    <w:rsid w:val="00641012"/>
    <w:rsid w:val="00641B5B"/>
    <w:rsid w:val="006C0284"/>
    <w:rsid w:val="006D2B2F"/>
    <w:rsid w:val="0070309C"/>
    <w:rsid w:val="007669DB"/>
    <w:rsid w:val="00766EFA"/>
    <w:rsid w:val="00770033"/>
    <w:rsid w:val="00797C7B"/>
    <w:rsid w:val="007A4DD3"/>
    <w:rsid w:val="007B0CC4"/>
    <w:rsid w:val="007E253C"/>
    <w:rsid w:val="007E612C"/>
    <w:rsid w:val="00821FDA"/>
    <w:rsid w:val="00826B90"/>
    <w:rsid w:val="00877890"/>
    <w:rsid w:val="00877B5E"/>
    <w:rsid w:val="00881144"/>
    <w:rsid w:val="008A73C0"/>
    <w:rsid w:val="008A7EBE"/>
    <w:rsid w:val="008E5C2A"/>
    <w:rsid w:val="008E685F"/>
    <w:rsid w:val="008F7A7C"/>
    <w:rsid w:val="0099575D"/>
    <w:rsid w:val="009C0481"/>
    <w:rsid w:val="009E7E70"/>
    <w:rsid w:val="00A07F12"/>
    <w:rsid w:val="00A10830"/>
    <w:rsid w:val="00A25DD0"/>
    <w:rsid w:val="00A30B19"/>
    <w:rsid w:val="00A36024"/>
    <w:rsid w:val="00A657A9"/>
    <w:rsid w:val="00A96AFF"/>
    <w:rsid w:val="00AA02E3"/>
    <w:rsid w:val="00AF3759"/>
    <w:rsid w:val="00B10C65"/>
    <w:rsid w:val="00B11082"/>
    <w:rsid w:val="00B171D2"/>
    <w:rsid w:val="00B4515F"/>
    <w:rsid w:val="00B65F6F"/>
    <w:rsid w:val="00B71586"/>
    <w:rsid w:val="00B8137E"/>
    <w:rsid w:val="00BA08C3"/>
    <w:rsid w:val="00BE251F"/>
    <w:rsid w:val="00BF05DD"/>
    <w:rsid w:val="00C17CD5"/>
    <w:rsid w:val="00C73896"/>
    <w:rsid w:val="00CA27E6"/>
    <w:rsid w:val="00CB6AFF"/>
    <w:rsid w:val="00CF3782"/>
    <w:rsid w:val="00CF3D78"/>
    <w:rsid w:val="00D2576F"/>
    <w:rsid w:val="00D4400C"/>
    <w:rsid w:val="00D44944"/>
    <w:rsid w:val="00E00A61"/>
    <w:rsid w:val="00E310E2"/>
    <w:rsid w:val="00E53488"/>
    <w:rsid w:val="00E70DBA"/>
    <w:rsid w:val="00EC1C71"/>
    <w:rsid w:val="00EC66AC"/>
    <w:rsid w:val="00EC6D2D"/>
    <w:rsid w:val="00EF6203"/>
    <w:rsid w:val="00F160A8"/>
    <w:rsid w:val="00FB74CA"/>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008C"/>
  <w15:chartTrackingRefBased/>
  <w15:docId w15:val="{F766D56D-57DD-4219-AF58-CB542D0D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4515F"/>
    <w:pPr>
      <w:numPr>
        <w:numId w:val="1"/>
      </w:numPr>
    </w:pPr>
  </w:style>
  <w:style w:type="table" w:styleId="TableGrid">
    <w:name w:val="Table Grid"/>
    <w:basedOn w:val="TableNormal"/>
    <w:uiPriority w:val="59"/>
    <w:unhideWhenUsed/>
    <w:rsid w:val="0099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75D"/>
    <w:rPr>
      <w:color w:val="0000FF" w:themeColor="hyperlink"/>
      <w:u w:val="single"/>
    </w:rPr>
  </w:style>
  <w:style w:type="character" w:styleId="FollowedHyperlink">
    <w:name w:val="FollowedHyperlink"/>
    <w:basedOn w:val="DefaultParagraphFont"/>
    <w:uiPriority w:val="99"/>
    <w:semiHidden/>
    <w:unhideWhenUsed/>
    <w:rsid w:val="0099575D"/>
    <w:rPr>
      <w:color w:val="800080" w:themeColor="followedHyperlink"/>
      <w:u w:val="single"/>
    </w:rPr>
  </w:style>
  <w:style w:type="character" w:styleId="UnresolvedMention">
    <w:name w:val="Unresolved Mention"/>
    <w:basedOn w:val="DefaultParagraphFont"/>
    <w:uiPriority w:val="99"/>
    <w:semiHidden/>
    <w:unhideWhenUsed/>
    <w:rsid w:val="00A10830"/>
    <w:rPr>
      <w:color w:val="808080"/>
      <w:shd w:val="clear" w:color="auto" w:fill="E6E6E6"/>
    </w:rPr>
  </w:style>
  <w:style w:type="paragraph" w:styleId="BalloonText">
    <w:name w:val="Balloon Text"/>
    <w:basedOn w:val="Normal"/>
    <w:link w:val="BalloonTextChar"/>
    <w:uiPriority w:val="99"/>
    <w:semiHidden/>
    <w:unhideWhenUsed/>
    <w:rsid w:val="00E7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BA"/>
    <w:rPr>
      <w:rFonts w:ascii="Segoe UI" w:hAnsi="Segoe UI" w:cs="Segoe UI"/>
      <w:sz w:val="18"/>
      <w:szCs w:val="18"/>
    </w:rPr>
  </w:style>
  <w:style w:type="paragraph" w:styleId="NormalWeb">
    <w:name w:val="Normal (Web)"/>
    <w:basedOn w:val="Normal"/>
    <w:uiPriority w:val="99"/>
    <w:unhideWhenUsed/>
    <w:rsid w:val="00FC24EF"/>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FC24EF"/>
    <w:rPr>
      <w:i/>
      <w:iCs/>
    </w:rPr>
  </w:style>
  <w:style w:type="paragraph" w:styleId="Header">
    <w:name w:val="header"/>
    <w:basedOn w:val="Normal"/>
    <w:link w:val="HeaderChar"/>
    <w:uiPriority w:val="99"/>
    <w:unhideWhenUsed/>
    <w:rsid w:val="0088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144"/>
  </w:style>
  <w:style w:type="paragraph" w:styleId="Footer">
    <w:name w:val="footer"/>
    <w:basedOn w:val="Normal"/>
    <w:link w:val="FooterChar"/>
    <w:uiPriority w:val="99"/>
    <w:unhideWhenUsed/>
    <w:rsid w:val="0088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d.org/fichiers/ABLE-tax-reform-co-chairs-letter-11-15-17.pdf" TargetMode="External"/><Relationship Id="rId13" Type="http://schemas.openxmlformats.org/officeDocument/2006/relationships/hyperlink" Target="https://www.cbpp.org/research/federal-tax/house-budget-committee-proposal-to-verify-incomes-of-all-eitc-filers-woul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o.gov/budget-options/2016/52232" TargetMode="External"/><Relationship Id="rId12" Type="http://schemas.openxmlformats.org/officeDocument/2006/relationships/hyperlink" Target="https://www.cbpp.org/research/federal-tax/senate-tax-bills-child-tax-credit-increase-provides-only-token-help-to-mill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ashingtonpost.com/opinions/the-house-tax-bill-unleashes-a-dangerous-avalanche-of-campaign-cash/2017/11/18/203707fc-c8b6-11e7-8321-481fd63f174d_story.html?utm_term=.3a18615cc7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pp.org/research/federal-tax/house-tax-bills-child-tax-credit-increase-excludes-thousands-of-children-in-low" TargetMode="External"/><Relationship Id="rId5" Type="http://schemas.openxmlformats.org/officeDocument/2006/relationships/footnotes" Target="footnotes.xml"/><Relationship Id="rId15" Type="http://schemas.openxmlformats.org/officeDocument/2006/relationships/hyperlink" Target="http://t.congressweb.com/l/?HMZODRTNHNMAXBD" TargetMode="External"/><Relationship Id="rId10" Type="http://schemas.openxmlformats.org/officeDocument/2006/relationships/hyperlink" Target="http://nlihc.org/article/house-committee-approves-seriously-flawed-tax-reform-bi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d.org/fichiers/ABLE-tax-reform-co-chairs-letter-11-15-17.pdf" TargetMode="External"/><Relationship Id="rId14" Type="http://schemas.openxmlformats.org/officeDocument/2006/relationships/hyperlink" Target="http://t.congressweb.com/l/?HMZODRTNHNGZE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Acosta</dc:creator>
  <cp:keywords/>
  <dc:description/>
  <cp:lastModifiedBy>Annie Acosta</cp:lastModifiedBy>
  <cp:revision>2</cp:revision>
  <cp:lastPrinted>2017-11-20T15:37:00Z</cp:lastPrinted>
  <dcterms:created xsi:type="dcterms:W3CDTF">2017-11-20T15:59:00Z</dcterms:created>
  <dcterms:modified xsi:type="dcterms:W3CDTF">2017-11-20T15:59:00Z</dcterms:modified>
</cp:coreProperties>
</file>